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jc w:val="center"/>
        <w:rPr>
          <w:rFonts w:ascii="Times New Roman" w:hAnsi="Times New Roman"/>
          <w:sz w:val="27"/>
          <w:szCs w:val="27"/>
        </w:rPr>
      </w:pPr>
      <w:bookmarkStart w:id="0" w:name="_GoBack"/>
      <w:bookmarkEnd w:id="0"/>
      <w:r>
        <w:rPr>
          <w:rFonts w:ascii="Times New Roman" w:hAnsi="Times New Roman"/>
          <w:b/>
          <w:sz w:val="24"/>
          <w:szCs w:val="24"/>
        </w:rPr>
        <w:t xml:space="preserve">Доклад в рамках проведения публичных мероприятий результатов контрольно-надзорной деятельности Управления Федеральной антимонопольной службы по Ханты-Мансийскому автономному округу - Югре </w:t>
      </w:r>
    </w:p>
    <w:p>
      <w:pPr>
        <w:pStyle w:val="Normal"/>
        <w:widowControl w:val="false"/>
        <w:spacing w:lineRule="auto" w:line="360" w:before="0" w:after="0"/>
        <w:jc w:val="center"/>
        <w:rPr>
          <w:rFonts w:ascii="Times New Roman" w:hAnsi="Times New Roman"/>
          <w:sz w:val="27"/>
          <w:szCs w:val="27"/>
        </w:rPr>
      </w:pPr>
      <w:r>
        <w:rPr>
          <w:rFonts w:ascii="Times New Roman" w:hAnsi="Times New Roman"/>
          <w:b/>
          <w:sz w:val="24"/>
          <w:szCs w:val="24"/>
        </w:rPr>
        <w:t xml:space="preserve">«Практика по контролю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eastAsia="MS Mincho" w:ascii="Times New Roman" w:hAnsi="Times New Roman"/>
          <w:sz w:val="24"/>
          <w:szCs w:val="24"/>
        </w:rPr>
        <w:t xml:space="preserve">          </w:t>
      </w:r>
      <w:r>
        <w:rPr>
          <w:rFonts w:eastAsia="MS Mincho" w:ascii="Times New Roman" w:hAnsi="Times New Roman"/>
          <w:sz w:val="24"/>
          <w:szCs w:val="24"/>
        </w:rPr>
        <w:t xml:space="preserve">В </w:t>
      </w:r>
      <w:r>
        <w:rPr>
          <w:rFonts w:eastAsia="MS Mincho" w:ascii="Times New Roman" w:hAnsi="Times New Roman"/>
          <w:sz w:val="24"/>
          <w:szCs w:val="24"/>
        </w:rPr>
        <w:t>2017</w:t>
      </w:r>
      <w:r>
        <w:rPr>
          <w:rFonts w:eastAsia="MS Mincho" w:ascii="Times New Roman" w:hAnsi="Times New Roman"/>
          <w:sz w:val="24"/>
          <w:szCs w:val="24"/>
        </w:rPr>
        <w:t xml:space="preserve"> году реализация государственной политики в области контроля за соблюдением законодательства Российской Федерации о контрактной системе в сфере закупок Ханты-Мансийским УФАС России проводилась по следующим направлениям:</w:t>
      </w:r>
    </w:p>
    <w:p>
      <w:pPr>
        <w:pStyle w:val="Normal"/>
        <w:spacing w:lineRule="auto" w:line="360" w:before="0" w:after="0"/>
        <w:ind w:firstLine="539"/>
        <w:jc w:val="both"/>
        <w:rPr>
          <w:rFonts w:ascii="Times New Roman" w:hAnsi="Times New Roman"/>
          <w:sz w:val="27"/>
          <w:szCs w:val="27"/>
        </w:rPr>
      </w:pPr>
      <w:r>
        <w:rPr>
          <w:rFonts w:ascii="Times New Roman" w:hAnsi="Times New Roman"/>
          <w:b/>
          <w:sz w:val="24"/>
          <w:szCs w:val="24"/>
        </w:rPr>
        <w:t xml:space="preserve">    </w:t>
      </w:r>
      <w:r>
        <w:rPr>
          <w:rFonts w:ascii="Times New Roman" w:hAnsi="Times New Roman"/>
          <w:b/>
          <w:i/>
          <w:sz w:val="24"/>
          <w:szCs w:val="24"/>
        </w:rPr>
        <w:t>Рассмотрение жалоб в рамках главы 6 Закона о контрактной системе.</w:t>
      </w:r>
    </w:p>
    <w:p>
      <w:pPr>
        <w:pStyle w:val="Normal"/>
        <w:spacing w:lineRule="auto" w:line="360" w:before="0" w:after="0"/>
        <w:ind w:firstLine="539"/>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360" w:before="0" w:after="0"/>
        <w:ind w:firstLine="709"/>
        <w:jc w:val="both"/>
        <w:rPr>
          <w:rFonts w:ascii="Times New Roman" w:hAnsi="Times New Roman"/>
          <w:sz w:val="27"/>
          <w:szCs w:val="27"/>
        </w:rPr>
      </w:pPr>
      <w:r>
        <w:rPr>
          <w:rFonts w:eastAsia="Cambria" w:ascii="Times New Roman" w:hAnsi="Times New Roman"/>
          <w:sz w:val="24"/>
          <w:szCs w:val="24"/>
          <w:lang w:eastAsia="en-US"/>
        </w:rPr>
        <w:t xml:space="preserve">  </w:t>
      </w:r>
      <w:r>
        <w:rPr>
          <w:rFonts w:eastAsia="Cambria" w:ascii="Times New Roman" w:hAnsi="Times New Roman"/>
          <w:sz w:val="24"/>
          <w:szCs w:val="24"/>
          <w:lang w:eastAsia="en-US"/>
        </w:rPr>
        <w:t xml:space="preserve">В целях защиты прав и законных интересов участников закупок ФАС России и его территориальные органы осуществляет рассмотрение жалоб, поданных в соответствии с главой 6 </w:t>
      </w:r>
      <w:r>
        <w:rPr>
          <w:rFonts w:ascii="Times New Roman" w:hAnsi="Times New Roman"/>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eastAsia="Cambria" w:ascii="Times New Roman" w:hAnsi="Times New Roman"/>
          <w:sz w:val="24"/>
          <w:szCs w:val="24"/>
          <w:lang w:eastAsia="en-US"/>
        </w:rPr>
        <w:t>.</w:t>
      </w:r>
    </w:p>
    <w:p>
      <w:pPr>
        <w:pStyle w:val="Normal"/>
        <w:shd w:val="clear" w:color="auto" w:fill="FFFFFF"/>
        <w:spacing w:lineRule="auto" w:line="360" w:before="0" w:after="0"/>
        <w:ind w:firstLine="709"/>
        <w:jc w:val="both"/>
        <w:rPr>
          <w:rFonts w:ascii="Times New Roman" w:hAnsi="Times New Roman"/>
          <w:sz w:val="24"/>
          <w:szCs w:val="24"/>
        </w:rPr>
      </w:pPr>
      <w:r>
        <w:rPr>
          <w:rFonts w:eastAsia="Cambria" w:ascii="Times New Roman" w:hAnsi="Times New Roman"/>
          <w:sz w:val="24"/>
          <w:szCs w:val="24"/>
          <w:lang w:eastAsia="en-US"/>
        </w:rPr>
        <w:t>За 9 месяцев 2017</w:t>
      </w:r>
      <w:r>
        <w:rPr>
          <w:rFonts w:eastAsia="Cambria" w:ascii="Times New Roman" w:hAnsi="Times New Roman"/>
          <w:sz w:val="24"/>
          <w:szCs w:val="24"/>
          <w:lang w:eastAsia="en-US"/>
        </w:rPr>
        <w:t xml:space="preserve"> год</w:t>
      </w:r>
      <w:r>
        <w:rPr>
          <w:rFonts w:eastAsia="Cambria" w:ascii="Times New Roman" w:hAnsi="Times New Roman"/>
          <w:sz w:val="24"/>
          <w:szCs w:val="24"/>
          <w:lang w:eastAsia="en-US"/>
        </w:rPr>
        <w:t>а</w:t>
      </w:r>
      <w:r>
        <w:rPr>
          <w:rFonts w:eastAsia="Cambria" w:ascii="Times New Roman" w:hAnsi="Times New Roman"/>
          <w:sz w:val="24"/>
          <w:szCs w:val="24"/>
          <w:lang w:eastAsia="en-US"/>
        </w:rPr>
        <w:t xml:space="preserve"> в </w:t>
      </w:r>
      <w:r>
        <w:rPr>
          <w:rFonts w:eastAsia="MS Mincho" w:ascii="Times New Roman" w:hAnsi="Times New Roman"/>
          <w:sz w:val="24"/>
          <w:szCs w:val="24"/>
          <w:lang w:eastAsia="en-US"/>
        </w:rPr>
        <w:t>Ханты-Мансийское</w:t>
      </w:r>
      <w:r>
        <w:rPr>
          <w:rFonts w:eastAsia="Cambria" w:ascii="Times New Roman" w:hAnsi="Times New Roman"/>
          <w:sz w:val="24"/>
          <w:szCs w:val="24"/>
          <w:lang w:eastAsia="en-US"/>
        </w:rPr>
        <w:t xml:space="preserve"> УФАС России поступило </w:t>
      </w:r>
      <w:r>
        <w:rPr>
          <w:rFonts w:eastAsia="Cambria" w:ascii="Times New Roman" w:hAnsi="Times New Roman"/>
          <w:b/>
          <w:sz w:val="24"/>
          <w:szCs w:val="24"/>
          <w:lang w:eastAsia="en-US"/>
        </w:rPr>
        <w:t>698</w:t>
      </w:r>
      <w:r>
        <w:rPr>
          <w:rFonts w:eastAsia="Cambria" w:ascii="Times New Roman" w:hAnsi="Times New Roman"/>
          <w:sz w:val="24"/>
          <w:szCs w:val="24"/>
          <w:lang w:eastAsia="en-US"/>
        </w:rPr>
        <w:t xml:space="preserve"> жалоб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в соответствии с требованиями Закона о контрактной системе. </w:t>
      </w:r>
    </w:p>
    <w:p>
      <w:pPr>
        <w:pStyle w:val="Normal"/>
        <w:shd w:val="clear" w:color="auto" w:fill="FFFFFF"/>
        <w:spacing w:lineRule="auto" w:line="360" w:before="0" w:after="0"/>
        <w:ind w:firstLine="709"/>
        <w:jc w:val="both"/>
        <w:rPr>
          <w:rFonts w:ascii="Times New Roman" w:hAnsi="Times New Roman"/>
          <w:sz w:val="24"/>
          <w:szCs w:val="24"/>
        </w:rPr>
      </w:pPr>
      <w:r>
        <w:rPr>
          <w:rFonts w:eastAsia="Cambria" w:ascii="Times New Roman" w:hAnsi="Times New Roman"/>
          <w:sz w:val="24"/>
          <w:szCs w:val="24"/>
          <w:lang w:eastAsia="en-US"/>
        </w:rPr>
        <w:t xml:space="preserve">Из поступивших жалоб, </w:t>
      </w:r>
      <w:r>
        <w:rPr>
          <w:rFonts w:eastAsia="Cambria" w:ascii="Times New Roman" w:hAnsi="Times New Roman"/>
          <w:b/>
          <w:sz w:val="24"/>
          <w:szCs w:val="24"/>
          <w:lang w:eastAsia="en-US"/>
        </w:rPr>
        <w:t>47</w:t>
      </w:r>
      <w:r>
        <w:rPr>
          <w:rFonts w:eastAsia="Cambria" w:ascii="Times New Roman" w:hAnsi="Times New Roman"/>
          <w:sz w:val="24"/>
          <w:szCs w:val="24"/>
          <w:lang w:eastAsia="en-US"/>
        </w:rPr>
        <w:t xml:space="preserve"> поданы в </w:t>
      </w:r>
      <w:r>
        <w:rPr>
          <w:rFonts w:eastAsia="Cambria" w:ascii="Times New Roman" w:hAnsi="Times New Roman"/>
          <w:spacing w:val="0"/>
          <w:sz w:val="24"/>
          <w:szCs w:val="24"/>
          <w:lang w:eastAsia="en-US"/>
        </w:rPr>
        <w:t xml:space="preserve">отношении закупок, осуществляемых для обеспечения федеральных нужд , </w:t>
      </w:r>
      <w:r>
        <w:rPr>
          <w:rFonts w:eastAsia="Cambria" w:ascii="Times New Roman" w:hAnsi="Times New Roman"/>
          <w:b/>
          <w:spacing w:val="0"/>
          <w:sz w:val="24"/>
          <w:szCs w:val="24"/>
          <w:lang w:eastAsia="en-US"/>
        </w:rPr>
        <w:t>302</w:t>
      </w:r>
      <w:r>
        <w:rPr>
          <w:rFonts w:eastAsia="Cambria" w:ascii="Times New Roman" w:hAnsi="Times New Roman"/>
          <w:spacing w:val="0"/>
          <w:sz w:val="24"/>
          <w:szCs w:val="24"/>
          <w:lang w:eastAsia="en-US"/>
        </w:rPr>
        <w:t xml:space="preserve"> – </w:t>
      </w:r>
      <w:r>
        <w:rPr>
          <w:rFonts w:eastAsia="Cambria" w:ascii="Times New Roman" w:hAnsi="Times New Roman"/>
          <w:sz w:val="24"/>
          <w:szCs w:val="24"/>
          <w:lang w:eastAsia="en-US"/>
        </w:rPr>
        <w:t xml:space="preserve">для нужд субъектов Российской Федерации </w:t>
      </w:r>
      <w:r>
        <w:rPr>
          <w:rFonts w:eastAsia="Cambria" w:ascii="Times New Roman" w:hAnsi="Times New Roman"/>
          <w:spacing w:val="0"/>
          <w:sz w:val="24"/>
          <w:szCs w:val="24"/>
          <w:lang w:eastAsia="en-US"/>
        </w:rPr>
        <w:t xml:space="preserve">, </w:t>
      </w:r>
      <w:r>
        <w:rPr>
          <w:rFonts w:eastAsia="Cambria" w:ascii="Times New Roman" w:hAnsi="Times New Roman"/>
          <w:b/>
          <w:spacing w:val="0"/>
          <w:sz w:val="24"/>
          <w:szCs w:val="24"/>
          <w:lang w:eastAsia="en-US"/>
        </w:rPr>
        <w:t>349</w:t>
      </w:r>
      <w:r>
        <w:rPr>
          <w:rFonts w:eastAsia="Cambria" w:ascii="Times New Roman" w:hAnsi="Times New Roman"/>
          <w:sz w:val="24"/>
          <w:szCs w:val="24"/>
          <w:lang w:eastAsia="en-US"/>
        </w:rPr>
        <w:t xml:space="preserve"> для муниципальных нужд</w:t>
      </w:r>
    </w:p>
    <w:p>
      <w:pPr>
        <w:pStyle w:val="Normal"/>
        <w:spacing w:lineRule="auto" w:line="360" w:before="0" w:after="0"/>
        <w:ind w:firstLine="539"/>
        <w:jc w:val="both"/>
        <w:rPr>
          <w:rFonts w:ascii="Times New Roman" w:hAnsi="Times New Roman"/>
          <w:sz w:val="24"/>
          <w:szCs w:val="24"/>
        </w:rPr>
      </w:pPr>
      <w:r>
        <w:rPr>
          <w:rFonts w:eastAsia="Cambria" w:ascii="Times New Roman" w:hAnsi="Times New Roman"/>
          <w:sz w:val="24"/>
          <w:szCs w:val="24"/>
          <w:lang w:eastAsia="en-US"/>
        </w:rPr>
        <w:t xml:space="preserve">  </w:t>
      </w:r>
      <w:r>
        <w:rPr>
          <w:rFonts w:eastAsia="Cambria" w:ascii="Times New Roman" w:hAnsi="Times New Roman"/>
          <w:sz w:val="24"/>
          <w:szCs w:val="24"/>
          <w:lang w:eastAsia="en-US"/>
        </w:rPr>
        <w:t>Н</w:t>
      </w:r>
      <w:r>
        <w:rPr>
          <w:rFonts w:eastAsia="Cambria" w:ascii="Times New Roman" w:hAnsi="Times New Roman"/>
          <w:sz w:val="24"/>
          <w:szCs w:val="24"/>
          <w:lang w:eastAsia="en-US"/>
        </w:rPr>
        <w:t xml:space="preserve">а основании части 11 статьи 105 Закона о контрактной системе </w:t>
      </w:r>
      <w:r>
        <w:rPr>
          <w:rFonts w:eastAsia="Cambria" w:ascii="Times New Roman" w:hAnsi="Times New Roman"/>
          <w:sz w:val="24"/>
          <w:szCs w:val="24"/>
          <w:lang w:eastAsia="en-US"/>
        </w:rPr>
        <w:t>134</w:t>
      </w:r>
      <w:r>
        <w:rPr>
          <w:rFonts w:eastAsia="Cambria" w:ascii="Times New Roman" w:hAnsi="Times New Roman"/>
          <w:sz w:val="24"/>
          <w:szCs w:val="24"/>
          <w:lang w:eastAsia="en-US"/>
        </w:rPr>
        <w:t xml:space="preserve"> жалобы возвращены заявителям без рассмотрения по существу. Кроме того, на основании части 15 статьи 105 Закона о контрактной системе </w:t>
      </w:r>
      <w:r>
        <w:rPr>
          <w:rFonts w:eastAsia="Cambria" w:ascii="Times New Roman" w:hAnsi="Times New Roman"/>
          <w:sz w:val="24"/>
          <w:szCs w:val="24"/>
          <w:lang w:eastAsia="en-US"/>
        </w:rPr>
        <w:t>44</w:t>
      </w:r>
      <w:r>
        <w:rPr>
          <w:rFonts w:eastAsia="Cambria" w:ascii="Times New Roman" w:hAnsi="Times New Roman"/>
          <w:sz w:val="24"/>
          <w:szCs w:val="24"/>
          <w:lang w:eastAsia="en-US"/>
        </w:rPr>
        <w:t xml:space="preserve"> жалоб</w:t>
      </w:r>
      <w:r>
        <w:rPr>
          <w:rFonts w:eastAsia="Cambria" w:ascii="Times New Roman" w:hAnsi="Times New Roman"/>
          <w:sz w:val="24"/>
          <w:szCs w:val="24"/>
          <w:lang w:eastAsia="en-US"/>
        </w:rPr>
        <w:t>ы</w:t>
      </w:r>
      <w:r>
        <w:rPr>
          <w:rFonts w:eastAsia="Cambria" w:ascii="Times New Roman" w:hAnsi="Times New Roman"/>
          <w:sz w:val="24"/>
          <w:szCs w:val="24"/>
          <w:lang w:eastAsia="en-US"/>
        </w:rPr>
        <w:t xml:space="preserve"> отозваны заявителями.</w:t>
      </w:r>
    </w:p>
    <w:p>
      <w:pPr>
        <w:pStyle w:val="Normal"/>
        <w:spacing w:lineRule="auto" w:line="360" w:before="0" w:after="0"/>
        <w:ind w:firstLine="709"/>
        <w:jc w:val="both"/>
        <w:rPr>
          <w:rFonts w:ascii="Times New Roman" w:hAnsi="Times New Roman"/>
          <w:sz w:val="24"/>
          <w:szCs w:val="24"/>
        </w:rPr>
      </w:pPr>
      <w:r>
        <w:rPr>
          <w:rFonts w:eastAsia="Cambria" w:ascii="Times New Roman" w:hAnsi="Times New Roman"/>
          <w:sz w:val="24"/>
          <w:szCs w:val="24"/>
          <w:lang w:eastAsia="en-US"/>
        </w:rPr>
        <w:t xml:space="preserve">В результате рассмотрения жалоб выдано </w:t>
      </w:r>
      <w:r>
        <w:rPr>
          <w:rFonts w:eastAsia="Cambria" w:ascii="Times New Roman" w:hAnsi="Times New Roman"/>
          <w:b/>
          <w:sz w:val="24"/>
          <w:szCs w:val="24"/>
          <w:lang w:eastAsia="en-US"/>
        </w:rPr>
        <w:t>143</w:t>
      </w:r>
      <w:r>
        <w:rPr>
          <w:rFonts w:eastAsia="Cambria" w:ascii="Times New Roman" w:hAnsi="Times New Roman"/>
          <w:sz w:val="24"/>
          <w:szCs w:val="24"/>
          <w:lang w:eastAsia="en-US"/>
        </w:rPr>
        <w:t xml:space="preserve"> предписания об устранении выявленных нарушений законодательства Российской Федерации о контрактной системе в сфере закупок, которые были исполнены подконтрольными субъектами </w:t>
      </w:r>
      <w:r>
        <w:rPr>
          <w:rFonts w:ascii="Times New Roman" w:hAnsi="Times New Roman"/>
          <w:sz w:val="24"/>
          <w:szCs w:val="24"/>
        </w:rPr>
        <w:t>в полном объеме и в установленные сроки</w:t>
      </w:r>
    </w:p>
    <w:p>
      <w:pPr>
        <w:pStyle w:val="Normal"/>
        <w:spacing w:lineRule="auto" w:line="360" w:before="0" w:after="0"/>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rPr>
        <w:t>Осуществление плановых и внеплановых проверок</w:t>
      </w:r>
    </w:p>
    <w:p>
      <w:pPr>
        <w:pStyle w:val="Normal"/>
        <w:spacing w:lineRule="auto" w:line="360" w:before="0" w:after="0"/>
        <w:ind w:firstLine="28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соответствии с ч. 3 статьи 99 Закона о контрактной системе осуществлено </w:t>
      </w:r>
      <w:r>
        <w:rPr>
          <w:rFonts w:ascii="Times New Roman" w:hAnsi="Times New Roman"/>
          <w:b/>
          <w:sz w:val="24"/>
          <w:szCs w:val="24"/>
        </w:rPr>
        <w:t>107</w:t>
      </w:r>
      <w:r>
        <w:rPr>
          <w:rFonts w:ascii="Times New Roman" w:hAnsi="Times New Roman"/>
          <w:sz w:val="24"/>
          <w:szCs w:val="24"/>
        </w:rPr>
        <w:t xml:space="preserve"> внеплановых контрольных мероприятия </w:t>
      </w:r>
      <w:r>
        <w:rPr>
          <w:rFonts w:eastAsia="Cambria" w:ascii="Times New Roman" w:hAnsi="Times New Roman"/>
          <w:sz w:val="24"/>
          <w:szCs w:val="24"/>
          <w:lang w:eastAsia="en-US"/>
        </w:rPr>
        <w:t xml:space="preserve">проверено </w:t>
      </w:r>
      <w:r>
        <w:rPr>
          <w:rFonts w:eastAsia="Cambria" w:ascii="Times New Roman" w:hAnsi="Times New Roman"/>
          <w:sz w:val="24"/>
          <w:szCs w:val="24"/>
          <w:lang w:eastAsia="en-US"/>
        </w:rPr>
        <w:t>107</w:t>
      </w:r>
      <w:r>
        <w:rPr>
          <w:rFonts w:eastAsia="Cambria" w:ascii="Times New Roman" w:hAnsi="Times New Roman"/>
          <w:sz w:val="24"/>
          <w:szCs w:val="24"/>
          <w:lang w:eastAsia="en-US"/>
        </w:rPr>
        <w:t xml:space="preserve"> процедуры определения поставщика (подрядчика, исполнителя), из которых в  50 процедурах выявлены нарушения. По результатам проверок выдано 40 предписания об устранении нарушений законодательства Российской Федерации о контрактной системе в сфере закупок.</w:t>
      </w:r>
    </w:p>
    <w:p>
      <w:pPr>
        <w:pStyle w:val="Normal"/>
        <w:spacing w:lineRule="auto" w:line="360" w:before="0" w:after="0"/>
        <w:ind w:firstLine="709"/>
        <w:jc w:val="both"/>
        <w:rPr>
          <w:rFonts w:ascii="Times New Roman" w:hAnsi="Times New Roman"/>
          <w:sz w:val="24"/>
          <w:szCs w:val="24"/>
        </w:rPr>
      </w:pPr>
      <w:r>
        <w:rPr>
          <w:rFonts w:ascii="Times New Roman" w:hAnsi="Times New Roman"/>
          <w:b/>
          <w:i/>
          <w:sz w:val="24"/>
          <w:szCs w:val="24"/>
        </w:rPr>
        <w:t>Административная практика</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За 9 месяцев 2017 года</w:t>
      </w:r>
      <w:r>
        <w:rPr>
          <w:rFonts w:ascii="Times New Roman" w:hAnsi="Times New Roman"/>
          <w:sz w:val="24"/>
          <w:szCs w:val="24"/>
        </w:rPr>
        <w:t xml:space="preserve"> в отношении должностных лиц заказчиков, в том числе членов комиссий, работников контрактных служб, контрактных управляющих вынесено </w:t>
      </w:r>
      <w:r>
        <w:rPr>
          <w:rFonts w:ascii="Times New Roman" w:hAnsi="Times New Roman"/>
          <w:b/>
          <w:sz w:val="24"/>
          <w:szCs w:val="24"/>
        </w:rPr>
        <w:t>201</w:t>
      </w:r>
      <w:r>
        <w:rPr>
          <w:rFonts w:ascii="Times New Roman" w:hAnsi="Times New Roman"/>
          <w:sz w:val="24"/>
          <w:szCs w:val="24"/>
        </w:rPr>
        <w:t xml:space="preserve"> постановлени</w:t>
      </w:r>
      <w:r>
        <w:rPr>
          <w:rFonts w:ascii="Times New Roman" w:hAnsi="Times New Roman"/>
          <w:sz w:val="24"/>
          <w:szCs w:val="24"/>
          <w:lang w:val="ru-RU"/>
        </w:rPr>
        <w:t>е</w:t>
      </w:r>
      <w:r>
        <w:rPr>
          <w:rFonts w:ascii="Times New Roman" w:hAnsi="Times New Roman"/>
          <w:sz w:val="24"/>
          <w:szCs w:val="24"/>
        </w:rPr>
        <w:t xml:space="preserve"> о назначении административных наказаний за нарушение  законодательства о контрактной системе в сфере закупок товаров работ, услуг для государственных и муниципальных нужд по статьям 7.29.-7.32., ч. 7 ст. 19.2, 19.7.2, 20.25 КоАП РФ</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Всего </w:t>
      </w:r>
      <w:r>
        <w:rPr>
          <w:rFonts w:ascii="Times New Roman" w:hAnsi="Times New Roman"/>
          <w:sz w:val="24"/>
          <w:szCs w:val="24"/>
        </w:rPr>
        <w:t xml:space="preserve">за указанный период </w:t>
      </w:r>
      <w:r>
        <w:rPr>
          <w:rFonts w:ascii="Times New Roman" w:hAnsi="Times New Roman"/>
          <w:sz w:val="24"/>
          <w:szCs w:val="24"/>
        </w:rPr>
        <w:t xml:space="preserve">наложено административных штрафов  на </w:t>
      </w:r>
      <w:r>
        <w:rPr>
          <w:rFonts w:ascii="Times New Roman" w:hAnsi="Times New Roman"/>
          <w:b/>
          <w:sz w:val="24"/>
          <w:szCs w:val="24"/>
        </w:rPr>
        <w:t xml:space="preserve">сумму </w:t>
      </w:r>
      <w:r>
        <w:rPr>
          <w:rFonts w:ascii="Times New Roman" w:hAnsi="Times New Roman"/>
          <w:b/>
          <w:sz w:val="24"/>
          <w:szCs w:val="24"/>
        </w:rPr>
        <w:t>4</w:t>
      </w:r>
      <w:r>
        <w:rPr>
          <w:rFonts w:ascii="Times New Roman" w:hAnsi="Times New Roman"/>
          <w:b/>
          <w:sz w:val="24"/>
          <w:szCs w:val="24"/>
        </w:rPr>
        <w:t xml:space="preserve"> млн </w:t>
      </w:r>
      <w:r>
        <w:rPr>
          <w:rFonts w:ascii="Times New Roman" w:hAnsi="Times New Roman"/>
          <w:b/>
          <w:sz w:val="24"/>
          <w:szCs w:val="24"/>
        </w:rPr>
        <w:t>160</w:t>
      </w:r>
      <w:r>
        <w:rPr>
          <w:rFonts w:ascii="Times New Roman" w:hAnsi="Times New Roman"/>
          <w:b/>
          <w:sz w:val="24"/>
          <w:szCs w:val="24"/>
        </w:rPr>
        <w:t xml:space="preserve"> тыс.</w:t>
      </w:r>
      <w:r>
        <w:rPr>
          <w:rFonts w:ascii="Times New Roman" w:hAnsi="Times New Roman"/>
          <w:sz w:val="24"/>
          <w:szCs w:val="24"/>
        </w:rPr>
        <w:t xml:space="preserve"> рублей. Исполнено (уплачено) административных штрафов должностными лицами  по постановлениям, принятым в </w:t>
      </w:r>
      <w:r>
        <w:rPr>
          <w:rFonts w:ascii="Times New Roman" w:hAnsi="Times New Roman"/>
          <w:sz w:val="24"/>
          <w:szCs w:val="24"/>
        </w:rPr>
        <w:t>2017</w:t>
      </w:r>
      <w:r>
        <w:rPr>
          <w:rFonts w:ascii="Times New Roman" w:hAnsi="Times New Roman"/>
          <w:sz w:val="24"/>
          <w:szCs w:val="24"/>
        </w:rPr>
        <w:t xml:space="preserve"> году в сумме  </w:t>
      </w:r>
      <w:r>
        <w:rPr>
          <w:rFonts w:ascii="Times New Roman" w:hAnsi="Times New Roman"/>
          <w:b/>
          <w:bCs/>
          <w:sz w:val="24"/>
          <w:szCs w:val="24"/>
        </w:rPr>
        <w:t>1</w:t>
      </w:r>
      <w:r>
        <w:rPr>
          <w:rFonts w:ascii="Times New Roman" w:hAnsi="Times New Roman"/>
          <w:b/>
          <w:sz w:val="24"/>
          <w:szCs w:val="24"/>
        </w:rPr>
        <w:t xml:space="preserve"> млн </w:t>
      </w:r>
      <w:r>
        <w:rPr>
          <w:rFonts w:ascii="Times New Roman" w:hAnsi="Times New Roman"/>
          <w:b/>
          <w:sz w:val="24"/>
          <w:szCs w:val="24"/>
        </w:rPr>
        <w:t>843 тыс. рублей</w:t>
      </w:r>
    </w:p>
    <w:p>
      <w:pPr>
        <w:pStyle w:val="Normal"/>
        <w:widowControl w:val="false"/>
        <w:spacing w:lineRule="auto" w:line="360" w:before="0" w:after="0"/>
        <w:ind w:firstLine="53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360" w:before="0" w:after="0"/>
        <w:ind w:firstLine="539"/>
        <w:jc w:val="center"/>
        <w:rPr>
          <w:rFonts w:ascii="Times New Roman" w:hAnsi="Times New Roman"/>
          <w:b/>
          <w:b/>
          <w:bCs/>
          <w:sz w:val="24"/>
          <w:szCs w:val="24"/>
        </w:rPr>
      </w:pPr>
      <w:r>
        <w:rPr>
          <w:rFonts w:ascii="Times New Roman" w:hAnsi="Times New Roman"/>
          <w:b/>
          <w:bCs/>
          <w:sz w:val="24"/>
          <w:szCs w:val="24"/>
        </w:rPr>
        <w:t>Типичные нарушения законодательства о контрактной системе.</w:t>
      </w:r>
    </w:p>
    <w:p>
      <w:pPr>
        <w:pStyle w:val="Normal"/>
        <w:spacing w:lineRule="auto" w:line="360" w:before="0" w:after="0"/>
        <w:jc w:val="both"/>
        <w:rPr>
          <w:rFonts w:ascii="Times New Roman" w:hAnsi="Times New Roman"/>
          <w:sz w:val="24"/>
          <w:szCs w:val="24"/>
        </w:rPr>
      </w:pPr>
      <w:r>
        <w:rPr>
          <w:rFonts w:eastAsia="Calibri" w:cs="Times New Roman" w:ascii="Times New Roman" w:hAnsi="Times New Roman"/>
          <w:b/>
          <w:bCs/>
          <w:i w:val="false"/>
          <w:iCs w:val="false"/>
          <w:caps w:val="false"/>
          <w:smallCaps w:val="false"/>
          <w:strike w:val="false"/>
          <w:dstrike w:val="false"/>
          <w:color w:val="000000"/>
          <w:sz w:val="24"/>
          <w:szCs w:val="24"/>
          <w:u w:val="none"/>
          <w:lang w:val="ru-RU" w:bidi="ar-SA"/>
        </w:rPr>
        <w:tab/>
      </w:r>
      <w:r>
        <w:rPr>
          <w:rFonts w:eastAsia="Calibri" w:cs="Times New Roman" w:ascii="Times New Roman" w:hAnsi="Times New Roman"/>
          <w:b/>
          <w:bCs/>
          <w:i w:val="false"/>
          <w:iCs w:val="false"/>
          <w:caps w:val="false"/>
          <w:smallCaps w:val="false"/>
          <w:strike w:val="false"/>
          <w:dstrike w:val="false"/>
          <w:color w:val="000000"/>
          <w:sz w:val="24"/>
          <w:szCs w:val="24"/>
          <w:u w:val="none"/>
          <w:lang w:val="en-US" w:bidi="ar-SA"/>
        </w:rPr>
        <w:t xml:space="preserve">1. </w:t>
      </w:r>
      <w:r>
        <w:rPr>
          <w:rFonts w:eastAsia="Calibri" w:cs="Times New Roman" w:ascii="Times New Roman" w:hAnsi="Times New Roman"/>
          <w:b/>
          <w:bCs/>
          <w:i w:val="false"/>
          <w:iCs w:val="false"/>
          <w:caps w:val="false"/>
          <w:smallCaps w:val="false"/>
          <w:strike w:val="false"/>
          <w:dstrike w:val="false"/>
          <w:color w:val="000000"/>
          <w:sz w:val="24"/>
          <w:szCs w:val="24"/>
          <w:u w:val="none"/>
          <w:lang w:val="ru-RU" w:bidi="ar-SA"/>
        </w:rPr>
        <w:t>При проведении закупок на оказание услуг по охране и обеспечению общественного порядка в общеобразовательных учреждениях участник должен представить копию лицензии на право осуществления охранной деятельности (частная охрана) с обязательным разрешенным видом услуг по охране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 частной детективной и охранной деятельности в Российской Федерации».</w:t>
      </w:r>
    </w:p>
    <w:p>
      <w:pPr>
        <w:pStyle w:val="Normal"/>
        <w:spacing w:lineRule="auto" w:line="360" w:before="0" w:after="0"/>
        <w:jc w:val="both"/>
        <w:rPr>
          <w:rFonts w:ascii="Times New Roman" w:hAnsi="Times New Roman"/>
          <w:sz w:val="24"/>
          <w:szCs w:val="24"/>
        </w:rPr>
      </w:pPr>
      <w:r>
        <w:rPr>
          <w:rFonts w:eastAsia="Calibri" w:cs="Times New Roman" w:ascii="Times New Roman" w:hAnsi="Times New Roman"/>
          <w:b w:val="false"/>
          <w:bCs/>
          <w:i w:val="false"/>
          <w:iCs w:val="false"/>
          <w:caps w:val="false"/>
          <w:smallCaps w:val="false"/>
          <w:strike w:val="false"/>
          <w:dstrike w:val="false"/>
          <w:color w:val="000000"/>
          <w:sz w:val="24"/>
          <w:szCs w:val="24"/>
          <w:u w:val="none"/>
          <w:lang w:val="ru-RU" w:bidi="ar-SA"/>
        </w:rPr>
        <w:tab/>
        <w:t>В случае отсутствия данного вида комиссия З</w:t>
      </w:r>
      <w:bookmarkStart w:id="1" w:name="main-column21"/>
      <w:bookmarkEnd w:id="1"/>
      <w:r>
        <w:rPr>
          <w:rFonts w:eastAsia="Calibri" w:cs="Times New Roman" w:ascii="Times New Roman" w:hAnsi="Times New Roman"/>
          <w:b w:val="false"/>
          <w:bCs/>
          <w:i w:val="false"/>
          <w:iCs w:val="false"/>
          <w:caps w:val="false"/>
          <w:smallCaps w:val="false"/>
          <w:strike w:val="false"/>
          <w:dstrike w:val="false"/>
          <w:color w:val="000000"/>
          <w:sz w:val="24"/>
          <w:szCs w:val="24"/>
          <w:u w:val="none"/>
          <w:lang w:val="ru-RU" w:bidi="ar-SA"/>
        </w:rPr>
        <w:t>аказчика обязана отказать в допуске данному участнику закупки по следующим основаниям.</w:t>
      </w:r>
    </w:p>
    <w:p>
      <w:pPr>
        <w:pStyle w:val="Normal"/>
        <w:spacing w:lineRule="auto" w:line="360" w:before="0" w:after="0"/>
        <w:jc w:val="both"/>
        <w:rPr>
          <w:rFonts w:ascii="Times New Roman" w:hAnsi="Times New Roman"/>
          <w:sz w:val="24"/>
          <w:szCs w:val="24"/>
        </w:rPr>
      </w:pPr>
      <w:r>
        <w:rPr>
          <w:rFonts w:eastAsia="Calibri" w:cs="Times New Roman" w:ascii="Times New Roman" w:hAnsi="Times New Roman"/>
          <w:b w:val="false"/>
          <w:bCs/>
          <w:i w:val="false"/>
          <w:iCs w:val="false"/>
          <w:caps w:val="false"/>
          <w:smallCaps w:val="false"/>
          <w:strike w:val="false"/>
          <w:dstrike w:val="false"/>
          <w:color w:val="000000"/>
          <w:sz w:val="24"/>
          <w:szCs w:val="24"/>
          <w:u w:val="none"/>
          <w:lang w:val="ru-RU" w:bidi="ar-SA"/>
        </w:rPr>
        <w:tab/>
        <w:t>Согласно пункту 32 части 1 статьи 12 Федерального закона от 04.05.2011 № 99-ФЗ «О лицензировании отдельных видов деятельности» частная охранная деятельность подлежит лицензированию.</w:t>
      </w:r>
    </w:p>
    <w:p>
      <w:pPr>
        <w:pStyle w:val="Normal"/>
        <w:spacing w:lineRule="auto" w:line="360" w:before="0" w:after="0"/>
        <w:jc w:val="both"/>
        <w:rPr>
          <w:rFonts w:ascii="Times New Roman" w:hAnsi="Times New Roman"/>
          <w:sz w:val="24"/>
          <w:szCs w:val="24"/>
        </w:rPr>
      </w:pPr>
      <w:r>
        <w:rPr>
          <w:rFonts w:eastAsia="Calibri" w:cs="Times New Roman" w:ascii="Times New Roman" w:hAnsi="Times New Roman"/>
          <w:b w:val="false"/>
          <w:bCs/>
          <w:i w:val="false"/>
          <w:iCs w:val="false"/>
          <w:caps w:val="false"/>
          <w:smallCaps w:val="false"/>
          <w:strike w:val="false"/>
          <w:dstrike w:val="false"/>
          <w:color w:val="000000"/>
          <w:sz w:val="24"/>
          <w:szCs w:val="24"/>
          <w:u w:val="none"/>
          <w:lang w:val="ru-RU" w:bidi="ar-SA"/>
        </w:rPr>
        <w:tab/>
      </w:r>
      <w:r>
        <w:rPr>
          <w:rFonts w:ascii="Times New Roman" w:hAnsi="Times New Roman"/>
          <w:sz w:val="24"/>
          <w:szCs w:val="24"/>
        </w:rPr>
        <w:t>Частная охранная деятельность регулируется Законом Российской Федерации от 11.03.1992 № 2487-1 «О частной детективной и охранной деятельности в Российской Федерации».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В соответствии со статьей 1 Закона Российской Федерации от 11.03.1992 №2487-1 «О частной детективной и охранной деятельности в Российской Федерации»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В силу статьи 11.2 Закона Российской Федерации от 11.03.1992 № 2487-1 «О частной детективной и охранной деятельности в Российской Федерации» предоставление лицензий на осуществление частной охранной деятельности производится органами внутренних дел.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и условий по каждому виду охранных услуг, предусмотренных частью 3 статьи 3 данного Закона.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Согласно пункту 7 части 2 статьи 3 Закона Российской Федерации от 11.03.1992 № 2487-1 «О частной детективной и охранной деятельности в Российской Федерации» в целях охраны разрешается предоставление услуг охраны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Таким образом, возможность предоставления услуги по охране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должна быть специально оговорена в лицензии на осуществление частной охранной деятельности.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Понятия «антитеррористическая защищенность» раскрывается в подпункте 6 части 1 статьи 3 Федерального закона «О противодействии терроризму», согласно которому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В силу пункта 2 части 3 статьи 28 Федерального закона от 29.12.2012 № 273-ФЗ «Об образовании в Российской Федерации» к компетенции образовательной организации в установленной сфере деятельности относятся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В соответствии с пунктом 2 части 6 статьи 28 Федерального закона от 29.12.2012 № 273-ФЗ «Об образовании в Российской Федерации» образовательная организация обязана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Из пункта 8 части 1 статьи 41 вышеуказанного Закона, следует, что 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В силу части 13 статьи 30 Федерального закона от 30.12.2009 № 384-Ф3 «Технический регламент о безопасности зданий и сооружений» для обеспечения защиты от несанкционированного вторжения в здания и сооружения необходимо соблюдение следующих требований, в том числе в зданиях с большим количеством посетителей (зрителей), а также в зданиях образовательных, медицинских, банковских организаций, на объектах транспортной инфраструктуры должны быть предусмотрены меры, направленные на уменьшение возможности криминальных проявлений и их последствий; в предусмотренных законодательством Российской Федерации случаях в зданиях и сооружениях должны быть устроены системы телевизионное наблюдения, системы сигнализации и другие системы, направленные на обеспечение защиты от угрозы террористического характера и несанкционированного вторжения.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Утвержденная Президентом Российской Федерации 05.10.2009 «Концепция противодействия терроризму в Российской Федерации» предусматривает, что 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Правительством Российской Федерации 23.12.2005 утверждена Федеральная целевая программа развития образования на 2006-2010 годы, в соответствии с которой предусмотрено создание безопасных условий для организации учебного процесса в образовательных учреждениях.</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В целях выполнения указанных мероприятий Министерством образования и науки Российской Федерации издан ряд приказов.</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Так, приказом от 11.11.2009 № 2013 «О мерах по обеспечению пожарной и антитеррористической безопасности образовательных учреждений» предписано руководителям подведомственных образовательных учреждений принять дополнительные меры по усилению режима пожарной и антитеррористической безопасности, а органам исполнительной власти субъектов Российской Федерации предусмотреть в бюджетах субъектов и муниципальных образований средства на создание комплексной системы обеспечения безопасности образовательных учреждений; разработать и реализовать комплекс мероприятий по оснащению образовательных учреждений современными техническими средствами противопожарной и антитеррористической защиты (системы видеонаблюдения, тревожной сигнализации, контроля, управления доступом и эвакуацией обучающихся и работников).</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В целях определения методических подходов к организации создания единой системы обеспечения безопасности образовательных учреждений, Министерством образования и науки Российской Федерации 04.06.2008 разработаны методические указания, в соответствии с которыми антитеррористическая защищенность образовательного учреждения считается одним из критериев обеспечения безопасности при оценке готовности учебных заведений к новому учебному процессу.</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При этом при решении вопроса о готовности учреждения осуществлять образовательную деятельность необходимо учитывать наличие обеспечения охраны, инженерно-технических средств охраны (охранно-пожарной сигнализации, тревожной сигнализации, системы видеонаблюдения и контроля).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Согласно пункту 6.48 СП 118.13330.2012. Свод правил. Общественные здания и сооружения. Актуализированная редакция СНиП 31-06-2009, утвержденного Приказом Минрегиона России от 29.12.2011 № 635/10, для комплексной безопасности и антитеррористической защищенности учреждений образования и их учащихся следует предусматривать на первом этаже помещения для охраны с установкой в них систем видеонаблюдения, пожарной и охранной сигнализации и канала передачи тревожных сообщений в органы внутренних дел (вневедомственной охраны) или в ситуационные центры «Службы 112».</w:t>
      </w:r>
    </w:p>
    <w:p>
      <w:pPr>
        <w:pStyle w:val="Normal"/>
        <w:spacing w:lineRule="auto" w:line="360" w:before="0" w:after="0"/>
        <w:jc w:val="both"/>
        <w:rPr>
          <w:rFonts w:ascii="Times New Roman" w:hAnsi="Times New Roman"/>
          <w:sz w:val="24"/>
          <w:szCs w:val="24"/>
        </w:rPr>
      </w:pPr>
      <w:r>
        <w:rPr>
          <w:rFonts w:eastAsia="Calibri" w:cs="Times New Roman" w:ascii="Times New Roman" w:hAnsi="Times New Roman"/>
          <w:b w:val="false"/>
          <w:bCs/>
          <w:i w:val="false"/>
          <w:iCs w:val="false"/>
          <w:caps w:val="false"/>
          <w:smallCaps w:val="false"/>
          <w:strike w:val="false"/>
          <w:dstrike w:val="false"/>
          <w:color w:val="000000"/>
          <w:sz w:val="24"/>
          <w:szCs w:val="24"/>
          <w:u w:val="none"/>
          <w:lang w:val="ru-RU" w:bidi="ar-SA"/>
        </w:rPr>
        <w:tab/>
        <w:t>Из совокупного анализа вышеуказанных норм следует, что меры по обеспечению безопасности в общеобразовательных учреждениях должны быть реализованы в объеме, необходимом для обеспечения антитеррористической защищенности.</w:t>
      </w:r>
    </w:p>
    <w:p>
      <w:pPr>
        <w:pStyle w:val="Normal"/>
        <w:spacing w:lineRule="auto" w:line="360" w:before="0" w:after="0"/>
        <w:jc w:val="both"/>
        <w:rPr>
          <w:rFonts w:ascii="Times New Roman" w:hAnsi="Times New Roman"/>
          <w:sz w:val="24"/>
          <w:szCs w:val="24"/>
        </w:rPr>
      </w:pPr>
      <w:bookmarkStart w:id="2" w:name="main-column2"/>
      <w:bookmarkEnd w:id="2"/>
      <w:r>
        <w:rPr>
          <w:rFonts w:eastAsia="Calibri" w:cs="Times New Roman" w:ascii="Times New Roman" w:hAnsi="Times New Roman"/>
          <w:b w:val="false"/>
          <w:bCs/>
          <w:i w:val="false"/>
          <w:iCs w:val="false"/>
          <w:caps w:val="false"/>
          <w:smallCaps w:val="false"/>
          <w:strike w:val="false"/>
          <w:dstrike w:val="false"/>
          <w:color w:val="000000"/>
          <w:sz w:val="24"/>
          <w:szCs w:val="24"/>
          <w:u w:val="none"/>
          <w:lang w:val="ru-RU" w:bidi="ar-SA"/>
        </w:rPr>
        <w:tab/>
        <w:t>Таким образом, участник закупки должен представить в составе заявки копию лицензии на право осуществления охранной деятельности (частная охрана) с разрешенным видом услуг по охране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p>
    <w:p>
      <w:pPr>
        <w:pStyle w:val="Normal"/>
        <w:widowControl w:val="false"/>
        <w:spacing w:lineRule="auto" w:line="360" w:before="0" w:after="0"/>
        <w:ind w:firstLine="539"/>
        <w:jc w:val="both"/>
        <w:rPr>
          <w:rFonts w:ascii="Times New Roman" w:hAnsi="Times New Roman"/>
          <w:sz w:val="24"/>
          <w:szCs w:val="24"/>
        </w:rPr>
      </w:pPr>
      <w:r>
        <w:rPr>
          <w:rFonts w:eastAsia="Calibri" w:cs="Times New Roman" w:ascii="Times New Roman" w:hAnsi="Times New Roman"/>
          <w:b w:val="false"/>
          <w:bCs w:val="false"/>
          <w:i w:val="false"/>
          <w:iCs w:val="false"/>
          <w:caps w:val="false"/>
          <w:smallCaps w:val="false"/>
          <w:strike w:val="false"/>
          <w:dstrike w:val="false"/>
          <w:color w:val="000000"/>
          <w:sz w:val="24"/>
          <w:szCs w:val="24"/>
          <w:u w:val="none"/>
          <w:lang w:val="ru-RU" w:bidi="ar-SA"/>
        </w:rPr>
        <w:tab/>
        <w:t>Аналогичная позиция отражена в Постановлении Арбитражного суда Западно- Сибирского округа  от 26.12.2016 по делу № А75-4179/2016.</w:t>
      </w:r>
    </w:p>
    <w:p>
      <w:pPr>
        <w:pStyle w:val="Normal"/>
        <w:spacing w:lineRule="auto" w:line="360" w:before="0" w:after="0"/>
        <w:jc w:val="both"/>
        <w:rPr>
          <w:rFonts w:ascii="Times New Roman" w:hAnsi="Times New Roman"/>
          <w:sz w:val="24"/>
          <w:szCs w:val="24"/>
        </w:rPr>
      </w:pPr>
      <w:r>
        <w:rPr>
          <w:rFonts w:ascii="Times New Roman" w:hAnsi="Times New Roman"/>
          <w:sz w:val="24"/>
          <w:szCs w:val="24"/>
          <w:u w:val="none"/>
        </w:rPr>
        <w:tab/>
      </w:r>
      <w:r>
        <w:rPr>
          <w:rFonts w:ascii="Times New Roman" w:hAnsi="Times New Roman"/>
          <w:b/>
          <w:bCs/>
          <w:sz w:val="24"/>
          <w:szCs w:val="24"/>
          <w:u w:val="none"/>
        </w:rPr>
        <w:t>2.</w:t>
      </w:r>
      <w:r>
        <w:rPr>
          <w:rFonts w:ascii="Times New Roman" w:hAnsi="Times New Roman"/>
          <w:sz w:val="24"/>
          <w:szCs w:val="24"/>
          <w:u w:val="none"/>
        </w:rPr>
        <w:t xml:space="preserve"> </w:t>
      </w:r>
      <w:r>
        <w:rPr>
          <w:rFonts w:ascii="Times New Roman" w:hAnsi="Times New Roman"/>
          <w:b/>
          <w:bCs/>
          <w:sz w:val="24"/>
          <w:szCs w:val="24"/>
          <w:u w:val="none"/>
        </w:rPr>
        <w:t xml:space="preserve">Признание заявки на участие в торгах не соответствующей требования документации об аукционе, в случае предоставления  </w:t>
      </w:r>
      <w:r>
        <w:rPr>
          <w:rFonts w:ascii="Times New Roman" w:hAnsi="Times New Roman"/>
          <w:b/>
          <w:bCs/>
          <w:i w:val="false"/>
          <w:caps w:val="false"/>
          <w:smallCaps w:val="false"/>
          <w:color w:val="000000"/>
          <w:sz w:val="24"/>
          <w:szCs w:val="24"/>
          <w:u w:val="none"/>
        </w:rPr>
        <w:t>Годовых актов экспертизы вместо акта экспертизы на конкретную закупки является неправомерным.</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 xml:space="preserve">В соответствии с пунктом 3 части 5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вторая часть заявки на участие в электронном аукционе должна содержать, в том числе,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 xml:space="preserve">В части 1, части 2 статьи 69 указанного Закона установлено, что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названного Закона, в части соответствия их требованиям, установленным документацией о таком аукционе. </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 xml:space="preserve">Заявка на участие в электронном аукционе признается не соответствующей требованиям, установленным документацией о таком аукционе, в случае: </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1) непредставления документов и информации, которые предусмотрены пунктами 1, 3-5, 7 и 8 части 2 статьи 62, частями 3 и 5 статьи 66 названного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 xml:space="preserve"> 2) несоответствия участника такого аукциона требованиям, установленным в соответствии с частью 1, частью 1.1 и 2 (при наличии таких требований) статьи 31 названного Федерального закона (ч. 6 ст. 69 Закона № 44-ФЗ).</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 xml:space="preserve">Предметом аукциона являлась поставка микроавтобуса, в извещении установлен код по ОКПД 29.10.23.000 (средства транспортные с поршневым двигателем внутреннего сгорания с воспламенением от сжатия (дизелем или полудизелем), новые. </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 xml:space="preserve">На основании Постановления 656 в целях защиты внутреннего рынка Российской Федерации,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установлен запрет на допуск отдельных видов товаров машиностроения, происходящих из иностранных государств, по перечню согласно приложению (далее - товары). </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 xml:space="preserve">В пункте 3 данного Постановления указано, что подтверждением соответствия товаров, указанных в пунктах 14-16, 18, 20-26 и 33 перечня, требованиям, предусмотренным подпунктами «б» и «в» пункта 1, является акт экспертизы, выдаваемый ТПП в порядке, установленном ею по согласованию с Министерством промышленности и торговли Российской Федерации. </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 xml:space="preserve">Приказом ТПП от 25.08.2014 № 64 утверждено Положение о порядке выдачи актов экспертизы для целей осуществления закупок для обеспечения государственных и муниципальных нужд, в соответствии с которым акт экспертизы определен как документ, 6 выданный уполномоченной ТПП участнику закупки, который подтверждает соответствие товаров требованиям, предусмотренным Постановлением № 656. </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В соответствии с п. 3.1. данного Положения акты экспертизы выдаются уполномоченными Торгово-промышленными палатами, заинтересованным участникам закупок (заявителям).</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 xml:space="preserve">В п. 3.2, п. 3.7 данного Положения предусмотрено, в частности, что акт экспертизы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w:t>
        <w:tab/>
        <w:t xml:space="preserve">Указанные первичные акты экспертизы оформляются на постоянную номенклатуру товаров сроком на один год (годовые акты экспертизы). Исходя из текста Положения о порядке выдачи актов экспертизы, наличие годового акта экспертизы является безусловным основанием для получения акта экспертизы для целей осуществления закупок, что следует из анализа положений пункта 4.2 </w:t>
        <w:tab/>
        <w:t xml:space="preserve">Положения о порядке выдачи актов экспертизы, поскольку при отсутствии годового акта необходимо представление дополнительных документов и сведений, подтверждающих наличие производства, факт изготовления товара, а также подтверждающие соответствие требованиям подпункта «б» пункта 1 Постановления № 656. </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 xml:space="preserve">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акты экспертизы, утверждаются ТПП России. Приказом ТПП от 25.08.2014 № 66 утвержден Порядок заполнения актов экспертизы по определению страны происхождения товаров и соответствия товаров требованиям постановления Правительства № 656. В соответствии с Приказом ТПП № 66 для получения Годового акта экспертизы заказчик экспертизы (заявитель) представляет в уполномоченную ТПП заявление с просьбой о выдаче Годового акта экспертизы (далее - заявление), которое подписывается руководителем заявителя или уполномоченным им лицом, действующим на основании доверенности или приказа (распоряжения) заявителя (пункт 3.1). </w:t>
      </w:r>
    </w:p>
    <w:p>
      <w:pPr>
        <w:pStyle w:val="Normal"/>
        <w:spacing w:lineRule="auto" w:line="360" w:before="0" w:after="0"/>
        <w:jc w:val="both"/>
        <w:rPr>
          <w:rFonts w:ascii="Times New Roman" w:hAnsi="Times New Roman"/>
          <w:sz w:val="24"/>
          <w:szCs w:val="24"/>
        </w:rPr>
      </w:pPr>
      <w:r>
        <w:rPr>
          <w:rFonts w:ascii="Times New Roman" w:hAnsi="Times New Roman"/>
          <w:i w:val="false"/>
          <w:caps w:val="false"/>
          <w:smallCaps w:val="false"/>
          <w:color w:val="000000"/>
          <w:sz w:val="24"/>
          <w:szCs w:val="24"/>
          <w:u w:val="none"/>
        </w:rPr>
        <w:tab/>
        <w:tab/>
        <w:t>Перечень сведений и документов, прилагаемых к заявлению на получение годового акта экспертизы в пункте 3.2 Приказа ТПП № 66, среди которых перечислены сведения и документы:</w:t>
      </w:r>
    </w:p>
    <w:p>
      <w:pPr>
        <w:pStyle w:val="Normal"/>
        <w:spacing w:lineRule="auto" w:line="360" w:before="0" w:after="0"/>
        <w:jc w:val="both"/>
        <w:rPr>
          <w:rFonts w:ascii="Times New Roman" w:hAnsi="Times New Roman"/>
          <w:sz w:val="24"/>
          <w:szCs w:val="24"/>
        </w:rPr>
      </w:pPr>
      <w:r>
        <w:rPr>
          <w:rFonts w:ascii="Times New Roman" w:hAnsi="Times New Roman"/>
          <w:b/>
          <w:bCs/>
          <w:i w:val="false"/>
          <w:caps w:val="false"/>
          <w:smallCaps w:val="false"/>
          <w:color w:val="000000"/>
          <w:sz w:val="24"/>
          <w:szCs w:val="24"/>
          <w:u w:val="none"/>
        </w:rPr>
        <w:tab/>
      </w:r>
      <w:r>
        <w:rPr>
          <w:rFonts w:ascii="Times New Roman" w:hAnsi="Times New Roman"/>
          <w:b w:val="false"/>
          <w:bCs w:val="false"/>
          <w:i w:val="false"/>
          <w:caps w:val="false"/>
          <w:smallCaps w:val="false"/>
          <w:color w:val="000000"/>
          <w:sz w:val="24"/>
          <w:szCs w:val="24"/>
          <w:u w:val="none"/>
        </w:rPr>
        <w:t>- подтверждающие наличие производственных площадей (свидетельство о праве собственности или договор аренды и акт приема-передачи производственных площадей);</w:t>
      </w:r>
    </w:p>
    <w:p>
      <w:pPr>
        <w:pStyle w:val="Normal"/>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z w:val="24"/>
          <w:szCs w:val="24"/>
          <w:u w:val="none"/>
        </w:rPr>
        <w:tab/>
        <w:t>- сведения о производственных мощностях (перечень оборудования и балансовая справка или договор аренды и акт приема-передачи оборудования);</w:t>
      </w:r>
    </w:p>
    <w:p>
      <w:pPr>
        <w:pStyle w:val="Normal"/>
        <w:spacing w:lineRule="auto" w:line="360" w:before="0" w:after="0"/>
        <w:jc w:val="both"/>
        <w:textAlignment w:val="top"/>
        <w:rPr>
          <w:rFonts w:ascii="Times New Roman" w:hAnsi="Times New Roman"/>
          <w:b w:val="false"/>
          <w:b w:val="false"/>
          <w:bCs w:val="false"/>
          <w:sz w:val="24"/>
          <w:szCs w:val="24"/>
        </w:rPr>
      </w:pPr>
      <w:r>
        <w:rPr>
          <w:rFonts w:ascii="Times New Roman" w:hAnsi="Times New Roman"/>
          <w:b w:val="false"/>
          <w:bCs w:val="false"/>
          <w:color w:val="2F2F2F"/>
          <w:sz w:val="24"/>
          <w:szCs w:val="24"/>
        </w:rPr>
        <w:tab/>
        <w:t>- сведения о наличии персонала (справка о численности персонала, занятого в производстве, перечень должностей);</w:t>
      </w:r>
    </w:p>
    <w:p>
      <w:pPr>
        <w:pStyle w:val="Normal"/>
        <w:spacing w:lineRule="auto" w:line="360" w:before="0" w:after="0"/>
        <w:jc w:val="both"/>
        <w:textAlignment w:val="top"/>
        <w:rPr>
          <w:rFonts w:ascii="Times New Roman" w:hAnsi="Times New Roman"/>
          <w:sz w:val="24"/>
          <w:szCs w:val="24"/>
        </w:rPr>
      </w:pPr>
      <w:r>
        <w:rPr>
          <w:rFonts w:ascii="Times New Roman" w:hAnsi="Times New Roman"/>
          <w:color w:val="2F2F2F"/>
          <w:sz w:val="24"/>
          <w:szCs w:val="24"/>
        </w:rPr>
        <w:tab/>
        <w:t>- сведения и документы, подтверждающие факт изготовления товара и прочие.</w:t>
      </w:r>
    </w:p>
    <w:p>
      <w:pPr>
        <w:pStyle w:val="Normal"/>
        <w:spacing w:lineRule="auto" w:line="360" w:before="0" w:after="0"/>
        <w:jc w:val="both"/>
        <w:textAlignment w:val="top"/>
        <w:rPr>
          <w:rFonts w:ascii="Times New Roman" w:hAnsi="Times New Roman"/>
          <w:sz w:val="24"/>
          <w:szCs w:val="24"/>
        </w:rPr>
      </w:pPr>
      <w:r>
        <w:rPr>
          <w:rFonts w:ascii="Times New Roman" w:hAnsi="Times New Roman"/>
          <w:color w:val="2F2F2F"/>
          <w:sz w:val="24"/>
          <w:szCs w:val="24"/>
        </w:rPr>
        <w:tab/>
        <w:t xml:space="preserve">Таким образом, перечень сведений и документов, исследуемых при проведении экспертизы, перечисленный в Приказе ТПП № 66 (о выдаче годового акта экспертизы) даже больше перечня, содержащегося в Приказе ТПП № 64. Следовательно, предоставив годовой акт экспертизы, </w:t>
      </w:r>
      <w:r>
        <w:rPr>
          <w:rFonts w:ascii="Times New Roman" w:hAnsi="Times New Roman"/>
          <w:color w:val="2F2F2F"/>
          <w:sz w:val="24"/>
          <w:szCs w:val="24"/>
        </w:rPr>
        <w:t>участник закупки</w:t>
      </w:r>
      <w:r>
        <w:rPr>
          <w:rFonts w:ascii="Times New Roman" w:hAnsi="Times New Roman"/>
          <w:color w:val="2F2F2F"/>
          <w:sz w:val="24"/>
          <w:szCs w:val="24"/>
        </w:rPr>
        <w:t xml:space="preserve"> </w:t>
      </w:r>
      <w:r>
        <w:rPr>
          <w:rFonts w:ascii="Times New Roman" w:hAnsi="Times New Roman"/>
          <w:color w:val="2F2F2F"/>
          <w:sz w:val="24"/>
          <w:szCs w:val="24"/>
        </w:rPr>
        <w:t>исполняет</w:t>
      </w:r>
      <w:r>
        <w:rPr>
          <w:rFonts w:ascii="Times New Roman" w:hAnsi="Times New Roman"/>
          <w:color w:val="2F2F2F"/>
          <w:sz w:val="24"/>
          <w:szCs w:val="24"/>
        </w:rPr>
        <w:t xml:space="preserve"> требование о предоставлении сведений, подтверждающих соответствие соблюдения запретов, установленных Постановлением № 656.</w:t>
      </w:r>
    </w:p>
    <w:p>
      <w:pPr>
        <w:pStyle w:val="Normal"/>
        <w:spacing w:lineRule="auto" w:line="360" w:before="0" w:after="0"/>
        <w:jc w:val="both"/>
        <w:textAlignment w:val="top"/>
        <w:rPr>
          <w:rFonts w:ascii="Times New Roman" w:hAnsi="Times New Roman"/>
          <w:sz w:val="24"/>
          <w:szCs w:val="24"/>
        </w:rPr>
      </w:pPr>
      <w:r>
        <w:rPr>
          <w:rFonts w:ascii="Times New Roman" w:hAnsi="Times New Roman"/>
          <w:color w:val="2F2F2F"/>
          <w:sz w:val="24"/>
          <w:szCs w:val="24"/>
        </w:rPr>
        <w:tab/>
        <w:tab/>
        <w:t xml:space="preserve">Поскольку положения Постановления № 656 и Закона № 44-ФЗ не содержат запрета на предоставление в составе заявки акта экспертизы, выданного производителю товара, указание в акте экспертизы в качестве заявителя лица, не являющегося участником аукциона (производителя товара) не свидетельствует о несоответствии товара требованиям законодательства. </w:t>
      </w:r>
    </w:p>
    <w:p>
      <w:pPr>
        <w:pStyle w:val="Normal"/>
        <w:spacing w:lineRule="auto" w:line="360"/>
        <w:jc w:val="both"/>
        <w:textAlignment w:val="top"/>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3. Отказ в допуске к участию в закупке в случае предоставления участником закупки двух тар, вместо требуемой по техническому заданию одной является не правомерным</w:t>
      </w:r>
      <w:r>
        <w:rPr>
          <w:rFonts w:ascii="Times New Roman" w:hAnsi="Times New Roman"/>
          <w:sz w:val="24"/>
          <w:szCs w:val="24"/>
        </w:rPr>
        <w:t>.</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ab/>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 xml:space="preserve">В пункте 24 аукционной документации содержится инструкция по заполнению заявки на участие в электронном аукционе, рекомендуемая форма заявки, согласно которой 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 -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 </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 xml:space="preserve">Согласно техническому заданию заказчиком в пункте 4 установлено требование к объему тары специального масла (ВМГЗ) - не менее 1 л. не более 10 л., при этом общее количество литров должно составлять 111 литров. </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 xml:space="preserve">Как следует из протокола рассмотрения заявок на участие в электронном аукционе  заявка участника признана не соответствующей требованиям технической части документации об аукционе в электронной форме, а именно: в пункте 4 технического задания требовалось - объем тары не менее 1 л. не более 10 л., </w:t>
      </w:r>
      <w:r>
        <w:rPr>
          <w:rFonts w:ascii="Times New Roman" w:hAnsi="Times New Roman"/>
          <w:i w:val="false"/>
          <w:caps w:val="false"/>
          <w:smallCaps w:val="false"/>
          <w:color w:val="000000"/>
          <w:sz w:val="24"/>
          <w:szCs w:val="24"/>
        </w:rPr>
        <w:t>в</w:t>
      </w:r>
      <w:r>
        <w:rPr>
          <w:rFonts w:ascii="Times New Roman" w:hAnsi="Times New Roman"/>
          <w:i w:val="false"/>
          <w:caps w:val="false"/>
          <w:smallCaps w:val="false"/>
          <w:color w:val="000000"/>
          <w:sz w:val="24"/>
          <w:szCs w:val="24"/>
        </w:rPr>
        <w:t xml:space="preserve"> заявке участника предложено: объем тары 5 л. и 10 л. (не конкретизирован показатель поставляемого товара). </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 xml:space="preserve">По мнению заказчика, заявка </w:t>
      </w:r>
      <w:r>
        <w:rPr>
          <w:rFonts w:ascii="Times New Roman" w:hAnsi="Times New Roman"/>
          <w:i w:val="false"/>
          <w:caps w:val="false"/>
          <w:smallCaps w:val="false"/>
          <w:color w:val="000000"/>
          <w:sz w:val="24"/>
          <w:szCs w:val="24"/>
        </w:rPr>
        <w:t>участника закупки</w:t>
      </w:r>
      <w:r>
        <w:rPr>
          <w:rFonts w:ascii="Times New Roman" w:hAnsi="Times New Roman"/>
          <w:i w:val="false"/>
          <w:caps w:val="false"/>
          <w:smallCaps w:val="false"/>
          <w:color w:val="000000"/>
          <w:sz w:val="24"/>
          <w:szCs w:val="24"/>
        </w:rPr>
        <w:t xml:space="preserve"> не соответствует подпункту б» пункта 1 части 3 статьи 66 Закона о контрактной системе, пункт 23, 24 раздела I документации об аукционе. </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Вместе с тем, установленное в аукционной документации требование предусматривает не конкретное, а диапазонное значение закупаемого объекта (заказчика устроит любой вариант от 1 до 10 литров), при этом дополнительные условия о запрете на поставку товара одновременно в фасовке различного объема не предусмотрено.</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 xml:space="preserve">В данном случае участником предполагалось поставить 11 шт. по 10 литров (что составляет 110 литров) и 1 шт. объемом 5 литров. Итоговый объем к поставке составил 115 литров. </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 xml:space="preserve">Таким образом, характеристики указанные участником закупки в первой части заявки входят в диапазон, требуемый заказчиком в техническом задании аукционной документации и соответствуют ему. </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Необходимость заказчика в том, чтобы все тары были одинакового объема, в ходе рассмотрения жалобы в антимонопольном органе учреждением не обоснована.</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 xml:space="preserve"> Кроме того, учитывая необходимое заказчику количество масла, предоставить его без излишек возможно было только в таре объемом 1 или 3 литра. </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 xml:space="preserve">Требования аукционной документации при их применении не могут быть чрезмерно формализованы, терминология, применяемая участниками аукциона может отличаться от изложения инструкции по заполнению заявки при соблюдении принципов полноты и достоверности информации, предусмотренных статьей 7 Закона о контрактной системе, а также учитывая принцип профессионализма заказчика, предусмотренного статьей 9 Закона о контрактной системе, из которого следует, что заказчик обладает профессиональными познаниями относительно характеристик закупаемой продукции. Иная трактовка законодательства обозначала бы наличие необоснованных препятствий для участия в аукционе, не соответствовала целям экономии бюджета и эффективности осуществления закупок. </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 xml:space="preserve">Из анализа норм Закона о контрактной системе следует, что одной из его целей является эффективное использование средств бюджетов и внебюджетных источников финансирования. Статьей 34 Бюджетного кодекса Российской Федерации установлен принцип результативности и эффективности использования бюджетных средств, на основании которого при исполнении бюджетов участники бюджетного процесса в рамках определенных для них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t xml:space="preserve">На основании вышеизложенного, единая комиссия Заказчика обязана при принятии решения о допуске либо об отказе в допуске исходить из принципа профессионализма, рассматривать заявки на соответствие требованиям Заказчика, с учетом специфика закупаемого товара, так как инструкция по заполнению первой части заявки является типовой и в каждом конкретном случае </w:t>
      </w:r>
      <w:r>
        <w:rPr>
          <w:rFonts w:ascii="Times New Roman" w:hAnsi="Times New Roman"/>
          <w:i w:val="false"/>
          <w:caps w:val="false"/>
          <w:smallCaps w:val="false"/>
          <w:color w:val="000000"/>
          <w:sz w:val="24"/>
          <w:szCs w:val="24"/>
        </w:rPr>
        <w:t>необходимо детальное изучение специфики закупаемого товара.</w:t>
      </w:r>
    </w:p>
    <w:p>
      <w:pPr>
        <w:pStyle w:val="Normal"/>
        <w:spacing w:lineRule="auto" w:line="360" w:before="0" w:after="0"/>
        <w:ind w:firstLine="567"/>
        <w:jc w:val="both"/>
        <w:textAlignment w:val="top"/>
        <w:rPr>
          <w:rFonts w:ascii="Times New Roman" w:hAnsi="Times New Roman"/>
          <w:b w:val="false"/>
          <w:b w:val="false"/>
          <w:bCs w:val="false"/>
          <w:sz w:val="24"/>
          <w:szCs w:val="24"/>
          <w:u w:val="none"/>
        </w:rPr>
      </w:pPr>
      <w:r>
        <w:rPr>
          <w:rFonts w:eastAsia="Arial CYR" w:cs="Times New Roman" w:ascii="Times New Roman" w:hAnsi="Times New Roman"/>
          <w:b w:val="false"/>
          <w:bCs w:val="false"/>
          <w:i w:val="false"/>
          <w:caps w:val="false"/>
          <w:smallCaps w:val="false"/>
          <w:color w:val="000000"/>
          <w:spacing w:val="2"/>
          <w:sz w:val="24"/>
          <w:szCs w:val="24"/>
          <w:u w:val="none"/>
          <w:shd w:fill="FFFFFF" w:val="clear"/>
          <w:lang w:val="ru-RU" w:eastAsia="en-US" w:bidi="en-US"/>
        </w:rPr>
        <w:t>Кроме того, указание в документации об аукционах основных параметров и технических характеристик не препятствует участникам закупки предложить в заявке другой товар, имеющий аналогичные или улучшенные технические характеристики и соответствующие потребностям заказчика.</w:t>
      </w:r>
    </w:p>
    <w:p>
      <w:pPr>
        <w:pStyle w:val="Normal"/>
        <w:spacing w:lineRule="auto" w:line="360"/>
        <w:jc w:val="both"/>
        <w:textAlignment w:val="top"/>
        <w:rPr>
          <w:rFonts w:ascii="Times New Roman" w:hAnsi="Times New Roman"/>
          <w:sz w:val="24"/>
          <w:szCs w:val="24"/>
        </w:rPr>
      </w:pPr>
      <w:r>
        <w:rPr>
          <w:rFonts w:ascii="Times New Roman" w:hAnsi="Times New Roman"/>
          <w:i w:val="false"/>
          <w:caps w:val="false"/>
          <w:smallCaps w:val="false"/>
          <w:color w:val="000000"/>
          <w:sz w:val="24"/>
          <w:szCs w:val="24"/>
        </w:rPr>
        <w:tab/>
      </w:r>
      <w:r>
        <w:rPr>
          <w:rFonts w:ascii="Times New Roman" w:hAnsi="Times New Roman"/>
          <w:b/>
          <w:bCs/>
          <w:i w:val="false"/>
          <w:caps w:val="false"/>
          <w:smallCaps w:val="false"/>
          <w:color w:val="000000"/>
          <w:sz w:val="24"/>
          <w:szCs w:val="24"/>
        </w:rPr>
        <w:t>4. Признание второй части заявки не соответствующей требованиям документации об аукционе и законодательству о контрактной системе индивидуального предпринимателя либо физического лица, в случае не представления декларации о</w:t>
      </w:r>
      <w:r>
        <w:rPr>
          <w:rFonts w:cs="Times New Roman" w:ascii="Times New Roman" w:hAnsi="Times New Roman"/>
          <w:b/>
          <w:bCs/>
          <w:i w:val="false"/>
          <w:caps w:val="false"/>
          <w:smallCaps w:val="false"/>
          <w:color w:val="000000"/>
          <w:sz w:val="24"/>
          <w:szCs w:val="24"/>
        </w:rPr>
        <w:t xml:space="preserve"> соответствии требованиям пункта 7.1 части 1 статьи 31 Закона о контрактной системе является не правомерным.</w:t>
      </w:r>
    </w:p>
    <w:p>
      <w:pPr>
        <w:pStyle w:val="NoSpacing"/>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Пункт</w:t>
      </w:r>
      <w:r>
        <w:rPr>
          <w:rFonts w:cs="Times New Roman" w:ascii="Times New Roman" w:hAnsi="Times New Roman"/>
          <w:sz w:val="24"/>
          <w:szCs w:val="24"/>
        </w:rPr>
        <w:t>ом</w:t>
      </w:r>
      <w:r>
        <w:rPr>
          <w:rFonts w:cs="Times New Roman" w:ascii="Times New Roman" w:hAnsi="Times New Roman"/>
          <w:sz w:val="24"/>
          <w:szCs w:val="24"/>
        </w:rPr>
        <w:t xml:space="preserve"> 7.1 </w:t>
      </w:r>
      <w:r>
        <w:rPr>
          <w:rFonts w:cs="Times New Roman" w:ascii="Times New Roman" w:hAnsi="Times New Roman"/>
          <w:sz w:val="24"/>
          <w:szCs w:val="24"/>
        </w:rPr>
        <w:t xml:space="preserve">части 1 </w:t>
      </w:r>
      <w:r>
        <w:rPr>
          <w:rFonts w:cs="Times New Roman" w:ascii="Times New Roman" w:hAnsi="Times New Roman"/>
          <w:sz w:val="24"/>
          <w:szCs w:val="24"/>
        </w:rPr>
        <w:t>статьи 31 Закона о контрактной системе предусмотрено следующее: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Spacing"/>
        <w:spacing w:lineRule="auto" w:line="360"/>
        <w:ind w:firstLine="709"/>
        <w:jc w:val="both"/>
        <w:rPr>
          <w:rFonts w:ascii="Times New Roman" w:hAnsi="Times New Roman"/>
          <w:sz w:val="24"/>
          <w:szCs w:val="24"/>
        </w:rPr>
      </w:pPr>
      <w:r>
        <w:rPr>
          <w:rFonts w:cs="Times New Roman" w:ascii="Times New Roman" w:hAnsi="Times New Roman"/>
          <w:sz w:val="24"/>
          <w:szCs w:val="24"/>
        </w:rPr>
        <w:t>Таким образом</w:t>
      </w:r>
      <w:r>
        <w:rPr>
          <w:rFonts w:cs="Times New Roman" w:ascii="Times New Roman" w:hAnsi="Times New Roman"/>
          <w:sz w:val="24"/>
          <w:szCs w:val="24"/>
        </w:rPr>
        <w:t xml:space="preserve">, требование пункта 7.1 части 1 статьи 31 Закона о контрактной системе предусмотрено для юридических лиц, </w:t>
      </w:r>
      <w:r>
        <w:rPr>
          <w:rFonts w:cs="Times New Roman" w:ascii="Times New Roman" w:hAnsi="Times New Roman"/>
          <w:sz w:val="24"/>
          <w:szCs w:val="24"/>
        </w:rPr>
        <w:t xml:space="preserve">в случае если </w:t>
      </w:r>
      <w:r>
        <w:rPr>
          <w:rFonts w:cs="Times New Roman" w:ascii="Times New Roman" w:hAnsi="Times New Roman"/>
          <w:sz w:val="24"/>
          <w:szCs w:val="24"/>
        </w:rPr>
        <w:t xml:space="preserve">участник закупки является индивидуальным предпринимателем </w:t>
      </w:r>
      <w:r>
        <w:rPr>
          <w:rFonts w:cs="Times New Roman" w:ascii="Times New Roman" w:hAnsi="Times New Roman"/>
          <w:sz w:val="24"/>
          <w:szCs w:val="24"/>
        </w:rPr>
        <w:t>либо физическим лицом</w:t>
      </w:r>
      <w:r>
        <w:rPr>
          <w:rFonts w:cs="Times New Roman" w:ascii="Times New Roman" w:hAnsi="Times New Roman"/>
          <w:sz w:val="24"/>
          <w:szCs w:val="24"/>
        </w:rPr>
        <w:t xml:space="preserve">, данное требование на участника закупки  не распространяется. </w:t>
      </w:r>
    </w:p>
    <w:p>
      <w:pPr>
        <w:pStyle w:val="NoSpacing"/>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частью 1 статьи 69 Закона о контрактной системе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pPr>
        <w:pStyle w:val="NoSpacing"/>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Согласно части 6 названной статьи заявка на участие в электронном аукционе признается не соответствующей требованиям, установленным документацией о таком аукционе, в случае:</w:t>
      </w:r>
    </w:p>
    <w:p>
      <w:pPr>
        <w:pStyle w:val="NoSpacing"/>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NoSpacing"/>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pPr>
        <w:pStyle w:val="NoSpacing"/>
        <w:spacing w:lineRule="auto" w:line="360"/>
        <w:ind w:firstLine="709"/>
        <w:jc w:val="both"/>
        <w:textAlignment w:val="top"/>
        <w:rPr>
          <w:rFonts w:ascii="Times New Roman" w:hAnsi="Times New Roman" w:cs="Times New Roman"/>
          <w:sz w:val="24"/>
          <w:szCs w:val="24"/>
        </w:rPr>
      </w:pPr>
      <w:r>
        <w:rPr>
          <w:rFonts w:cs="Times New Roman" w:ascii="Times New Roman" w:hAnsi="Times New Roman"/>
          <w:i w:val="false"/>
          <w:caps w:val="false"/>
          <w:smallCaps w:val="false"/>
          <w:color w:val="000000"/>
          <w:sz w:val="24"/>
          <w:szCs w:val="24"/>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(часть 7 статьи 69 Закона о контрактной системе).</w:t>
      </w:r>
    </w:p>
    <w:p>
      <w:pPr>
        <w:pStyle w:val="Normal"/>
        <w:spacing w:lineRule="auto" w:line="360" w:before="0" w:after="0"/>
        <w:jc w:val="both"/>
        <w:textAlignment w:val="top"/>
        <w:rPr>
          <w:rFonts w:ascii="Times New Roman" w:hAnsi="Times New Roman"/>
          <w:sz w:val="24"/>
          <w:szCs w:val="24"/>
        </w:rPr>
      </w:pPr>
      <w:r>
        <w:rPr>
          <w:rFonts w:ascii="Times New Roman" w:hAnsi="Times New Roman"/>
          <w:color w:val="2F2F2F"/>
          <w:sz w:val="24"/>
          <w:szCs w:val="24"/>
        </w:rPr>
        <w:tab/>
      </w:r>
      <w:r>
        <w:rPr>
          <w:rFonts w:ascii="Times New Roman" w:hAnsi="Times New Roman"/>
          <w:b/>
          <w:bCs/>
          <w:color w:val="2F2F2F"/>
          <w:sz w:val="24"/>
          <w:szCs w:val="24"/>
        </w:rPr>
        <w:t xml:space="preserve">5. </w:t>
      </w:r>
      <w:r>
        <w:rPr>
          <w:rFonts w:ascii="Times New Roman" w:hAnsi="Times New Roman"/>
          <w:b/>
          <w:bCs/>
          <w:i w:val="false"/>
          <w:strike w:val="false"/>
          <w:dstrike w:val="false"/>
          <w:color w:val="2F2F2F"/>
          <w:sz w:val="24"/>
          <w:szCs w:val="24"/>
          <w:u w:val="none"/>
        </w:rPr>
        <w:t xml:space="preserve">Федеральным законом от 28.12.2016 N 489-ФЗ </w:t>
      </w:r>
      <w:r>
        <w:rPr>
          <w:rFonts w:ascii="Times New Roman" w:hAnsi="Times New Roman"/>
          <w:b/>
          <w:bCs/>
          <w:i w:val="false"/>
          <w:strike w:val="false"/>
          <w:dstrike w:val="false"/>
          <w:sz w:val="24"/>
          <w:szCs w:val="24"/>
          <w:u w:val="none"/>
        </w:rPr>
        <w:t xml:space="preserve">"О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w:t>
      </w:r>
      <w:r>
        <w:rPr>
          <w:rFonts w:ascii="Times New Roman" w:hAnsi="Times New Roman"/>
          <w:b/>
          <w:bCs/>
          <w:i w:val="false"/>
          <w:strike w:val="false"/>
          <w:dstrike w:val="false"/>
          <w:sz w:val="24"/>
          <w:szCs w:val="24"/>
          <w:u w:val="none"/>
        </w:rPr>
        <w:t>были внесены изменения в статью 31 Закона о контрактной системе.</w:t>
      </w:r>
    </w:p>
    <w:p>
      <w:pPr>
        <w:pStyle w:val="Normal"/>
        <w:spacing w:lineRule="auto" w:line="360" w:before="0" w:after="0"/>
        <w:jc w:val="both"/>
        <w:textAlignment w:val="top"/>
        <w:rPr>
          <w:rFonts w:ascii="Times New Roman" w:hAnsi="Times New Roman"/>
          <w:sz w:val="24"/>
          <w:szCs w:val="24"/>
        </w:rPr>
      </w:pPr>
      <w:r>
        <w:rPr>
          <w:rFonts w:ascii="Times New Roman" w:hAnsi="Times New Roman"/>
          <w:b w:val="false"/>
          <w:i w:val="false"/>
          <w:strike w:val="false"/>
          <w:dstrike w:val="false"/>
          <w:sz w:val="24"/>
          <w:szCs w:val="24"/>
          <w:u w:val="none"/>
        </w:rPr>
        <w:tab/>
        <w:t xml:space="preserve">Так, </w:t>
      </w:r>
      <w:r>
        <w:rPr>
          <w:rFonts w:ascii="Times New Roman" w:hAnsi="Times New Roman"/>
          <w:b w:val="false"/>
          <w:i w:val="false"/>
          <w:strike w:val="false"/>
          <w:dstrike w:val="false"/>
          <w:color w:val="0000FF"/>
          <w:sz w:val="24"/>
          <w:szCs w:val="24"/>
          <w:u w:val="none"/>
        </w:rPr>
        <w:t>пункт 7</w:t>
      </w:r>
      <w:r>
        <w:rPr>
          <w:rFonts w:ascii="Times New Roman" w:hAnsi="Times New Roman"/>
          <w:b w:val="false"/>
          <w:i w:val="false"/>
          <w:strike w:val="false"/>
          <w:dstrike w:val="false"/>
          <w:sz w:val="24"/>
          <w:szCs w:val="24"/>
          <w:u w:val="none"/>
        </w:rPr>
        <w:t xml:space="preserve"> излож</w:t>
      </w:r>
      <w:r>
        <w:rPr>
          <w:rFonts w:ascii="Times New Roman" w:hAnsi="Times New Roman"/>
          <w:b w:val="false"/>
          <w:i w:val="false"/>
          <w:strike w:val="false"/>
          <w:dstrike w:val="false"/>
          <w:sz w:val="24"/>
          <w:szCs w:val="24"/>
          <w:u w:val="none"/>
        </w:rPr>
        <w:t xml:space="preserve">ен </w:t>
      </w:r>
      <w:r>
        <w:rPr>
          <w:rFonts w:ascii="Times New Roman" w:hAnsi="Times New Roman"/>
          <w:b w:val="false"/>
          <w:i w:val="false"/>
          <w:strike w:val="false"/>
          <w:dstrike w:val="false"/>
          <w:sz w:val="24"/>
          <w:szCs w:val="24"/>
          <w:u w:val="none"/>
        </w:rPr>
        <w:t>в следующей редакции:</w:t>
      </w:r>
    </w:p>
    <w:p>
      <w:pPr>
        <w:pStyle w:val="Normal"/>
        <w:spacing w:lineRule="auto" w:line="36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Fonts w:ascii="Times New Roman" w:hAnsi="Times New Roman"/>
          <w:b w:val="false"/>
          <w:i w:val="false"/>
          <w:strike w:val="false"/>
          <w:dstrike w:val="false"/>
          <w:color w:val="0000FF"/>
          <w:sz w:val="24"/>
          <w:szCs w:val="24"/>
          <w:u w:val="none"/>
        </w:rPr>
        <w:t>статьями 289</w:t>
      </w: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color w:val="0000FF"/>
          <w:sz w:val="24"/>
          <w:szCs w:val="24"/>
          <w:u w:val="none"/>
        </w:rPr>
        <w:t>290</w:t>
      </w: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color w:val="0000FF"/>
          <w:sz w:val="24"/>
          <w:szCs w:val="24"/>
          <w:u w:val="none"/>
        </w:rPr>
        <w:t>291</w:t>
      </w: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color w:val="0000FF"/>
          <w:sz w:val="24"/>
          <w:szCs w:val="24"/>
          <w:u w:val="none"/>
        </w:rPr>
        <w:t>291.1</w:t>
      </w:r>
      <w:r>
        <w:rPr>
          <w:rFonts w:ascii="Times New Roman" w:hAnsi="Times New Roman"/>
          <w:b w:val="false"/>
          <w:i w:val="false"/>
          <w:strike w:val="false"/>
          <w:dstrike w:val="false"/>
          <w:sz w:val="24"/>
          <w:szCs w:val="24"/>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spacing w:lineRule="auto" w:line="36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Кроме того, часть 1 статьи 31 Закона о контраткной системе</w:t>
      </w: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color w:val="0000FF"/>
          <w:sz w:val="24"/>
          <w:szCs w:val="24"/>
          <w:u w:val="none"/>
        </w:rPr>
        <w:t>дополн</w:t>
      </w:r>
      <w:r>
        <w:rPr>
          <w:rFonts w:ascii="Times New Roman" w:hAnsi="Times New Roman"/>
          <w:b w:val="false"/>
          <w:i w:val="false"/>
          <w:strike w:val="false"/>
          <w:dstrike w:val="false"/>
          <w:color w:val="0000FF"/>
          <w:sz w:val="24"/>
          <w:szCs w:val="24"/>
          <w:u w:val="none"/>
        </w:rPr>
        <w:t>ена</w:t>
      </w:r>
      <w:r>
        <w:rPr>
          <w:rFonts w:ascii="Times New Roman" w:hAnsi="Times New Roman"/>
          <w:b w:val="false"/>
          <w:i w:val="false"/>
          <w:strike w:val="false"/>
          <w:dstrike w:val="false"/>
          <w:sz w:val="24"/>
          <w:szCs w:val="24"/>
          <w:u w:val="none"/>
        </w:rPr>
        <w:t xml:space="preserve"> пунктом 7.1 следующего содержания:</w:t>
      </w:r>
    </w:p>
    <w:p>
      <w:pPr>
        <w:pStyle w:val="Normal"/>
        <w:spacing w:lineRule="auto" w:line="36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Fonts w:ascii="Times New Roman" w:hAnsi="Times New Roman"/>
          <w:b w:val="false"/>
          <w:i w:val="false"/>
          <w:strike w:val="false"/>
          <w:dstrike w:val="false"/>
          <w:color w:val="0000FF"/>
          <w:sz w:val="24"/>
          <w:szCs w:val="24"/>
          <w:u w:val="none"/>
        </w:rPr>
        <w:t>статьей 19.28</w:t>
      </w:r>
      <w:r>
        <w:rPr>
          <w:rFonts w:ascii="Times New Roman" w:hAnsi="Times New Roman"/>
          <w:b w:val="false"/>
          <w:i w:val="false"/>
          <w:strike w:val="false"/>
          <w:dstrike w:val="false"/>
          <w:sz w:val="24"/>
          <w:szCs w:val="24"/>
          <w:u w:val="none"/>
        </w:rPr>
        <w:t xml:space="preserve"> Кодекса Российской Федерации об административных правонарушениях;".</w:t>
      </w:r>
    </w:p>
    <w:p>
      <w:pPr>
        <w:pStyle w:val="Normal"/>
        <w:spacing w:lineRule="auto" w:line="360" w:before="0" w:after="0"/>
        <w:jc w:val="both"/>
        <w:textAlignment w:val="top"/>
        <w:rPr>
          <w:rFonts w:ascii="Times New Roman" w:hAnsi="Times New Roman"/>
          <w:sz w:val="24"/>
          <w:szCs w:val="24"/>
        </w:rPr>
      </w:pPr>
      <w:r>
        <w:rPr>
          <w:rFonts w:ascii="Times New Roman" w:hAnsi="Times New Roman"/>
          <w:b w:val="false"/>
          <w:i w:val="false"/>
          <w:strike w:val="false"/>
          <w:dstrike w:val="false"/>
          <w:sz w:val="24"/>
          <w:szCs w:val="24"/>
          <w:u w:val="none"/>
        </w:rPr>
        <w:tab/>
        <w:t xml:space="preserve">Между тем, на сегодняшний день до сих пор встречаются документации без учета положений  </w:t>
      </w:r>
      <w:r>
        <w:rPr>
          <w:rFonts w:ascii="Times New Roman" w:hAnsi="Times New Roman"/>
          <w:b w:val="false"/>
          <w:i w:val="false"/>
          <w:strike w:val="false"/>
          <w:dstrike w:val="false"/>
          <w:color w:val="2F2F2F"/>
          <w:sz w:val="24"/>
          <w:szCs w:val="24"/>
          <w:u w:val="none"/>
        </w:rPr>
        <w:t>Федерального закона от 28.12.2016 N 489-ФЗ, что является нарушением части 3 статьи 7 и пунктов 7, 7.1 части 1 статьи 31 Закона о контрактной системе.</w:t>
      </w:r>
    </w:p>
    <w:p>
      <w:pPr>
        <w:pStyle w:val="Normal"/>
        <w:spacing w:lineRule="auto" w:line="360" w:before="0" w:after="0"/>
        <w:jc w:val="both"/>
        <w:textAlignment w:val="top"/>
        <w:rPr>
          <w:b w:val="false"/>
          <w:b w:val="false"/>
          <w:i w:val="false"/>
          <w:i w:val="false"/>
          <w:strike w:val="false"/>
          <w:dstrike w:val="false"/>
          <w:color w:val="2F2F2F"/>
          <w:u w:val="none"/>
        </w:rPr>
      </w:pPr>
      <w:r>
        <w:rPr>
          <w:rFonts w:ascii="Times New Roman" w:hAnsi="Times New Roman"/>
          <w:sz w:val="24"/>
          <w:szCs w:val="24"/>
        </w:rPr>
      </w:r>
    </w:p>
    <w:p>
      <w:pPr>
        <w:pStyle w:val="Normal"/>
        <w:spacing w:lineRule="auto" w:line="360" w:before="0" w:after="0"/>
        <w:jc w:val="both"/>
        <w:textAlignment w:val="top"/>
        <w:rPr>
          <w:rFonts w:ascii="Times New Roman" w:hAnsi="Times New Roman"/>
          <w:b w:val="false"/>
          <w:b w:val="false"/>
          <w:bCs w:val="false"/>
          <w:sz w:val="24"/>
          <w:szCs w:val="24"/>
          <w:u w:val="none"/>
        </w:rPr>
      </w:pPr>
      <w:r>
        <w:rPr>
          <w:rFonts w:ascii="Times New Roman" w:hAnsi="Times New Roman"/>
          <w:b w:val="false"/>
          <w:bCs w:val="false"/>
          <w:i w:val="false"/>
          <w:strike w:val="false"/>
          <w:dstrike w:val="false"/>
          <w:color w:val="2F2F2F"/>
          <w:sz w:val="24"/>
          <w:szCs w:val="24"/>
          <w:u w:val="none"/>
        </w:rPr>
        <w:tab/>
      </w:r>
      <w:r>
        <w:rPr>
          <w:rFonts w:ascii="Times New Roman" w:hAnsi="Times New Roman"/>
          <w:b/>
          <w:bCs/>
          <w:i w:val="false"/>
          <w:strike w:val="false"/>
          <w:dstrike w:val="false"/>
          <w:color w:val="2F2F2F"/>
          <w:sz w:val="24"/>
          <w:szCs w:val="24"/>
          <w:u w:val="none"/>
        </w:rPr>
        <w:t xml:space="preserve">6. </w:t>
      </w:r>
      <w:r>
        <w:rPr>
          <w:rFonts w:ascii="Times New Roman" w:hAnsi="Times New Roman"/>
          <w:b/>
          <w:bCs/>
          <w:i w:val="false"/>
          <w:strike w:val="false"/>
          <w:dstrike w:val="false"/>
          <w:color w:val="2F2F2F"/>
          <w:sz w:val="24"/>
          <w:szCs w:val="24"/>
          <w:u w:val="none"/>
        </w:rPr>
        <w:t>Необоснованный допуск участников закупки по первым частям заявок на участие в аукционе (предоставление недостоверной информации о товаре, его характеристиках, а также о стране происхождения товара).</w:t>
      </w:r>
    </w:p>
    <w:p>
      <w:pPr>
        <w:pStyle w:val="Normal"/>
        <w:spacing w:lineRule="auto" w:line="360" w:before="0" w:after="0"/>
        <w:jc w:val="both"/>
        <w:textAlignment w:val="top"/>
        <w:rPr>
          <w:rFonts w:ascii="Times New Roman" w:hAnsi="Times New Roman"/>
          <w:b w:val="false"/>
          <w:b w:val="false"/>
          <w:bCs w:val="false"/>
          <w:sz w:val="24"/>
          <w:szCs w:val="24"/>
          <w:u w:val="none"/>
        </w:rPr>
      </w:pPr>
      <w:r>
        <w:rPr>
          <w:rFonts w:ascii="Times New Roman" w:hAnsi="Times New Roman"/>
          <w:b w:val="false"/>
          <w:bCs w:val="false"/>
          <w:i w:val="false"/>
          <w:strike w:val="false"/>
          <w:dstrike w:val="false"/>
          <w:color w:val="2F2F2F"/>
          <w:sz w:val="24"/>
          <w:szCs w:val="24"/>
          <w:u w:val="none"/>
        </w:rPr>
        <w:tab/>
      </w:r>
      <w:r>
        <w:rPr>
          <w:rFonts w:ascii="Times New Roman" w:hAnsi="Times New Roman"/>
          <w:b w:val="false"/>
          <w:bCs w:val="false"/>
          <w:i w:val="false"/>
          <w:strike w:val="false"/>
          <w:dstrike w:val="false"/>
          <w:color w:val="2F2F2F"/>
          <w:sz w:val="24"/>
          <w:szCs w:val="24"/>
          <w:u w:val="none"/>
        </w:rPr>
        <w:t>П</w:t>
      </w:r>
      <w:r>
        <w:rPr>
          <w:rFonts w:eastAsia="Times New Roman" w:cs="Times New Roman" w:ascii="Times New Roman" w:hAnsi="Times New Roman"/>
          <w:b w:val="false"/>
          <w:bCs w:val="false"/>
          <w:i w:val="false"/>
          <w:iCs w:val="false"/>
          <w:strike w:val="false"/>
          <w:dstrike w:val="false"/>
          <w:color w:val="000000"/>
          <w:spacing w:val="2"/>
          <w:sz w:val="24"/>
          <w:szCs w:val="24"/>
          <w:u w:val="none"/>
          <w:shd w:fill="FFFFFF" w:val="clear"/>
          <w:lang w:val="ru-RU" w:eastAsia="ru-RU" w:bidi="en-US"/>
        </w:rPr>
        <w:t>ри проведении торгов, предметами которых является поставка оригинальных расходных материалов (картриджи) для оргтехники Заказчики позициям Заказчик устанавливают требования о поставке картриджей определенных товарных знаков (например Canon, Epson, HP Photosmart, HP Laser Jet, KONICA, Kyocera и т.д.)</w:t>
      </w:r>
    </w:p>
    <w:p>
      <w:pPr>
        <w:pStyle w:val="Normal"/>
        <w:spacing w:lineRule="auto" w:line="360"/>
        <w:ind w:firstLine="567"/>
        <w:jc w:val="both"/>
        <w:rPr>
          <w:rFonts w:ascii="Times New Roman" w:hAnsi="Times New Roman"/>
          <w:b w:val="false"/>
          <w:b w:val="false"/>
          <w:bCs w:val="false"/>
          <w:sz w:val="24"/>
          <w:szCs w:val="24"/>
          <w:u w:val="none"/>
        </w:rPr>
      </w:pPr>
      <w:r>
        <w:rPr>
          <w:rFonts w:ascii="Times New Roman" w:hAnsi="Times New Roman"/>
          <w:b w:val="false"/>
          <w:bCs w:val="false"/>
          <w:color w:val="000000"/>
          <w:sz w:val="24"/>
          <w:szCs w:val="24"/>
          <w:u w:val="none"/>
        </w:rPr>
        <w:t>Между тем, недобросовестные участники предлагая к поставке товар (</w:t>
      </w:r>
      <w:r>
        <w:rPr>
          <w:rFonts w:eastAsia="Times New Roman" w:cs="Times New Roman" w:ascii="Times New Roman" w:hAnsi="Times New Roman"/>
          <w:b w:val="false"/>
          <w:bCs w:val="false"/>
          <w:i w:val="false"/>
          <w:iCs w:val="false"/>
          <w:strike w:val="false"/>
          <w:dstrike w:val="false"/>
          <w:color w:val="000000"/>
          <w:spacing w:val="2"/>
          <w:sz w:val="24"/>
          <w:szCs w:val="24"/>
          <w:u w:val="none"/>
          <w:shd w:fill="FFFFFF" w:val="clear"/>
          <w:lang w:val="ru-RU" w:eastAsia="ru-RU" w:bidi="en-US"/>
        </w:rPr>
        <w:t>расходные материалы (картриджи)</w:t>
      </w:r>
      <w:r>
        <w:rPr>
          <w:rFonts w:ascii="Times New Roman" w:hAnsi="Times New Roman"/>
          <w:b w:val="false"/>
          <w:bCs w:val="false"/>
          <w:color w:val="000000"/>
          <w:sz w:val="24"/>
          <w:szCs w:val="24"/>
          <w:u w:val="none"/>
        </w:rPr>
        <w:t>) декларируют страну происхождения</w:t>
      </w:r>
      <w:r>
        <w:rPr>
          <w:rFonts w:ascii="Times New Roman" w:hAnsi="Times New Roman"/>
          <w:b w:val="false"/>
          <w:bCs w:val="false"/>
          <w:color w:val="000000"/>
          <w:sz w:val="24"/>
          <w:szCs w:val="24"/>
          <w:u w:val="none"/>
        </w:rPr>
        <w:t xml:space="preserve"> - Российская Федерация.</w:t>
      </w:r>
    </w:p>
    <w:p>
      <w:pPr>
        <w:pStyle w:val="Normal"/>
        <w:spacing w:lineRule="auto" w:line="360"/>
        <w:ind w:firstLine="567"/>
        <w:jc w:val="both"/>
        <w:rPr>
          <w:rFonts w:ascii="Times New Roman" w:hAnsi="Times New Roman"/>
          <w:b w:val="false"/>
          <w:b w:val="false"/>
          <w:bCs w:val="false"/>
          <w:sz w:val="24"/>
          <w:szCs w:val="24"/>
          <w:u w:val="none"/>
        </w:rPr>
      </w:pPr>
      <w:r>
        <w:rPr>
          <w:rFonts w:ascii="Times New Roman" w:hAnsi="Times New Roman"/>
          <w:b w:val="false"/>
          <w:bCs w:val="false"/>
          <w:color w:val="000000"/>
          <w:sz w:val="24"/>
          <w:szCs w:val="24"/>
          <w:u w:val="none"/>
        </w:rPr>
        <w:t>Вместе с тем, согласно официальн</w:t>
      </w:r>
      <w:r>
        <w:rPr>
          <w:rFonts w:ascii="Times New Roman" w:hAnsi="Times New Roman"/>
          <w:b w:val="false"/>
          <w:bCs w:val="false"/>
          <w:color w:val="000000"/>
          <w:sz w:val="24"/>
          <w:szCs w:val="24"/>
          <w:u w:val="none"/>
        </w:rPr>
        <w:t>ым</w:t>
      </w:r>
      <w:r>
        <w:rPr>
          <w:rFonts w:ascii="Times New Roman" w:hAnsi="Times New Roman"/>
          <w:b w:val="false"/>
          <w:bCs w:val="false"/>
          <w:color w:val="000000"/>
          <w:sz w:val="24"/>
          <w:szCs w:val="24"/>
          <w:u w:val="none"/>
        </w:rPr>
        <w:t xml:space="preserve"> письм</w:t>
      </w:r>
      <w:r>
        <w:rPr>
          <w:rFonts w:ascii="Times New Roman" w:hAnsi="Times New Roman"/>
          <w:b w:val="false"/>
          <w:bCs w:val="false"/>
          <w:color w:val="000000"/>
          <w:sz w:val="24"/>
          <w:szCs w:val="24"/>
          <w:u w:val="none"/>
        </w:rPr>
        <w:t>ам</w:t>
      </w:r>
      <w:r>
        <w:rPr>
          <w:rFonts w:ascii="Times New Roman" w:hAnsi="Times New Roman"/>
          <w:b w:val="false"/>
          <w:bCs w:val="false"/>
          <w:color w:val="000000"/>
          <w:sz w:val="24"/>
          <w:szCs w:val="24"/>
          <w:u w:val="none"/>
        </w:rPr>
        <w:t xml:space="preserve"> </w:t>
      </w:r>
      <w:r>
        <w:rPr>
          <w:rFonts w:ascii="Times New Roman" w:hAnsi="Times New Roman"/>
          <w:b w:val="false"/>
          <w:bCs w:val="false"/>
          <w:color w:val="000000"/>
          <w:sz w:val="24"/>
          <w:szCs w:val="24"/>
          <w:u w:val="none"/>
        </w:rPr>
        <w:t xml:space="preserve">(например </w:t>
      </w:r>
      <w:r>
        <w:rPr>
          <w:rFonts w:ascii="Times New Roman" w:hAnsi="Times New Roman"/>
          <w:b w:val="false"/>
          <w:bCs w:val="false"/>
          <w:color w:val="000000"/>
          <w:sz w:val="24"/>
          <w:szCs w:val="24"/>
          <w:u w:val="none"/>
        </w:rPr>
        <w:t>ЗАО Хьюлетт-Паккард АО (Hewlett-Packard) от 17.06.2014г.</w:t>
      </w:r>
      <w:r>
        <w:rPr>
          <w:rFonts w:ascii="Times New Roman" w:hAnsi="Times New Roman"/>
          <w:b w:val="false"/>
          <w:bCs w:val="false"/>
          <w:color w:val="000000"/>
          <w:sz w:val="24"/>
          <w:szCs w:val="24"/>
          <w:u w:val="none"/>
        </w:rPr>
        <w:t>) данная</w:t>
      </w:r>
      <w:r>
        <w:rPr>
          <w:rFonts w:ascii="Times New Roman" w:hAnsi="Times New Roman"/>
          <w:b w:val="false"/>
          <w:bCs w:val="false"/>
          <w:color w:val="000000"/>
          <w:sz w:val="24"/>
          <w:szCs w:val="24"/>
          <w:u w:val="none"/>
        </w:rPr>
        <w:t xml:space="preserve"> компания не производит расходные материалы на территории Российской Федерации. </w:t>
      </w:r>
      <w:r>
        <w:rPr>
          <w:rFonts w:ascii="Times New Roman" w:hAnsi="Times New Roman"/>
          <w:b w:val="false"/>
          <w:bCs w:val="false"/>
          <w:color w:val="000000"/>
          <w:sz w:val="24"/>
          <w:szCs w:val="24"/>
          <w:u w:val="none"/>
        </w:rPr>
        <w:t xml:space="preserve">Аналогичное письмо имеется у компании </w:t>
      </w:r>
      <w:r>
        <w:rPr>
          <w:rFonts w:eastAsia="Times New Roman" w:cs="Times New Roman" w:ascii="Times New Roman" w:hAnsi="Times New Roman"/>
          <w:b w:val="false"/>
          <w:bCs w:val="false"/>
          <w:i w:val="false"/>
          <w:iCs w:val="false"/>
          <w:strike w:val="false"/>
          <w:dstrike w:val="false"/>
          <w:color w:val="000000"/>
          <w:spacing w:val="2"/>
          <w:sz w:val="24"/>
          <w:szCs w:val="24"/>
          <w:u w:val="none"/>
          <w:shd w:fill="FFFFFF" w:val="clear"/>
          <w:lang w:val="ru-RU" w:eastAsia="ru-RU" w:bidi="en-US"/>
        </w:rPr>
        <w:t xml:space="preserve">Kyocera. </w:t>
      </w:r>
    </w:p>
    <w:p>
      <w:pPr>
        <w:pStyle w:val="Normal"/>
        <w:spacing w:lineRule="auto" w:line="360" w:before="0" w:after="0"/>
        <w:jc w:val="both"/>
        <w:textAlignment w:val="top"/>
        <w:rPr>
          <w:rFonts w:ascii="Times New Roman" w:hAnsi="Times New Roman"/>
          <w:sz w:val="24"/>
          <w:szCs w:val="24"/>
        </w:rPr>
      </w:pPr>
      <w:r>
        <w:rPr>
          <w:rFonts w:eastAsia="Times New Roman" w:cs="Times New Roman" w:ascii="Times New Roman" w:hAnsi="Times New Roman"/>
          <w:b w:val="false"/>
          <w:bCs w:val="false"/>
          <w:i w:val="false"/>
          <w:iCs w:val="false"/>
          <w:strike w:val="false"/>
          <w:dstrike w:val="false"/>
          <w:color w:val="000000"/>
          <w:spacing w:val="2"/>
          <w:sz w:val="24"/>
          <w:szCs w:val="24"/>
          <w:u w:val="none"/>
          <w:shd w:fill="FFFFFF" w:val="clear"/>
          <w:lang w:val="ru-RU" w:eastAsia="ru-RU" w:bidi="en-US"/>
        </w:rPr>
        <w:tab/>
      </w:r>
      <w:r>
        <w:rPr>
          <w:rFonts w:eastAsia="Times New Roman" w:cs="Times New Roman" w:ascii="Times New Roman" w:hAnsi="Times New Roman"/>
          <w:b w:val="false"/>
          <w:bCs w:val="false"/>
          <w:i w:val="false"/>
          <w:iCs w:val="false"/>
          <w:strike w:val="false"/>
          <w:dstrike w:val="false"/>
          <w:color w:val="000000"/>
          <w:spacing w:val="2"/>
          <w:sz w:val="24"/>
          <w:szCs w:val="24"/>
          <w:u w:val="none"/>
          <w:shd w:fill="FFFFFF" w:val="clear"/>
          <w:lang w:val="ru-RU" w:eastAsia="ru-RU" w:bidi="en-US"/>
        </w:rPr>
        <w:t>О</w:t>
      </w:r>
      <w:r>
        <w:rPr>
          <w:rFonts w:eastAsia="Times New Roman" w:cs="Times New Roman" w:ascii="Times New Roman" w:hAnsi="Times New Roman"/>
          <w:b w:val="false"/>
          <w:bCs w:val="false"/>
          <w:i w:val="false"/>
          <w:iCs w:val="false"/>
          <w:strike w:val="false"/>
          <w:dstrike w:val="false"/>
          <w:color w:val="000000"/>
          <w:spacing w:val="2"/>
          <w:sz w:val="24"/>
          <w:szCs w:val="24"/>
          <w:u w:val="none"/>
          <w:shd w:fill="FFFFFF" w:val="clear"/>
          <w:lang w:val="ru-RU" w:eastAsia="ru-RU" w:bidi="en-US"/>
        </w:rPr>
        <w:t>дним из оснований для отказа в допуске к участию в аукционе является предоставление недостоверной информации, заказчик (аукционная комиссия) обязан принять необходимые и возможные меры для проверки действительности сведений (предоставляемой информации) о предмете закупки. Данные действия являются разумными мерами, обеспечивающими предоставление качественной продукции (</w:t>
      </w:r>
      <w:r>
        <w:rPr>
          <w:rFonts w:eastAsia="Times New Roman" w:cs="Times New Roman" w:ascii="Times New Roman" w:hAnsi="Times New Roman"/>
          <w:b w:val="false"/>
          <w:bCs w:val="false"/>
          <w:i w:val="false"/>
          <w:iCs w:val="false"/>
          <w:strike w:val="false"/>
          <w:dstrike w:val="false"/>
          <w:color w:val="000000"/>
          <w:spacing w:val="2"/>
          <w:sz w:val="24"/>
          <w:szCs w:val="24"/>
          <w:u w:val="none"/>
          <w:shd w:fill="FFFFFF" w:val="clear"/>
          <w:lang w:val="ru-RU" w:eastAsia="ru-RU" w:bidi="en-US"/>
        </w:rPr>
        <w:t xml:space="preserve">товаров, </w:t>
      </w:r>
      <w:r>
        <w:rPr>
          <w:rFonts w:eastAsia="Times New Roman" w:cs="Times New Roman" w:ascii="Times New Roman" w:hAnsi="Times New Roman"/>
          <w:b w:val="false"/>
          <w:bCs w:val="false"/>
          <w:i w:val="false"/>
          <w:iCs w:val="false"/>
          <w:strike w:val="false"/>
          <w:dstrike w:val="false"/>
          <w:color w:val="000000"/>
          <w:spacing w:val="2"/>
          <w:sz w:val="24"/>
          <w:szCs w:val="24"/>
          <w:u w:val="none"/>
          <w:shd w:fill="FFFFFF" w:val="clear"/>
          <w:lang w:val="ru-RU" w:eastAsia="ru-RU" w:bidi="en-US"/>
        </w:rPr>
        <w:t>работ, услуг) для нужд заказчика и не противоречат действующему законодательству.</w:t>
      </w:r>
    </w:p>
    <w:p>
      <w:pPr>
        <w:pStyle w:val="Normal"/>
        <w:spacing w:lineRule="auto" w:line="360" w:before="0" w:after="0"/>
        <w:jc w:val="both"/>
        <w:textAlignment w:val="top"/>
        <w:rPr/>
      </w:pPr>
      <w:hyperlink r:id="rId2">
        <w:r>
          <w:rPr>
            <w:rFonts w:eastAsia="Times New Roman" w:cs="Times New Roman" w:ascii="Times New Roman" w:hAnsi="Times New Roman"/>
            <w:b w:val="false"/>
            <w:bCs w:val="false"/>
            <w:i w:val="false"/>
            <w:iCs w:val="false"/>
            <w:strike w:val="false"/>
            <w:dstrike w:val="false"/>
            <w:color w:val="2F2F2F"/>
            <w:spacing w:val="2"/>
            <w:sz w:val="24"/>
            <w:szCs w:val="24"/>
            <w:highlight w:val="white"/>
            <w:u w:val="none"/>
            <w:lang w:val="ru-RU" w:eastAsia="ru-RU" w:bidi="en-US"/>
          </w:rPr>
          <w:tab/>
          <w:t>Аналогичная позиция изложена в решении арбитражного суда Ханты-Мансийского автономного округа — Югры от 04.12.2014 по делу №А75-10530/2014.</w:t>
        </w:r>
      </w:hyperlink>
    </w:p>
    <w:sectPr>
      <w:type w:val="nextPage"/>
      <w:pgSz w:w="11906" w:h="16838"/>
      <w:pgMar w:left="1701" w:right="850" w:header="0" w:top="1134" w:footer="0" w:bottom="851"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Open Sans">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Body Text Indent 2" w:uiPriority="0"/>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5890"/>
    <w:pPr>
      <w:widowControl/>
      <w:bidi w:val="0"/>
      <w:jc w:val="left"/>
    </w:pPr>
    <w:rPr>
      <w:rFonts w:ascii="Times New Roman" w:hAnsi="Times New Roman" w:eastAsia="Times New Roman" w:cs="Times New Roman"/>
      <w:color w:val="00000A"/>
      <w:sz w:val="28"/>
      <w:szCs w:val="24"/>
      <w:lang w:val="ru-RU" w:eastAsia="ru-RU" w:bidi="ar-SA"/>
    </w:rPr>
  </w:style>
  <w:style w:type="paragraph" w:styleId="1">
    <w:name w:val="Заголовок 1"/>
    <w:basedOn w:val="Normal"/>
    <w:link w:val="10"/>
    <w:qFormat/>
    <w:rsid w:val="009f5890"/>
    <w:pPr>
      <w:keepNext/>
      <w:outlineLvl w:val="0"/>
    </w:pPr>
    <w:rPr>
      <w:sz w:val="32"/>
      <w:szCs w:val="20"/>
    </w:rPr>
  </w:style>
  <w:style w:type="paragraph" w:styleId="2">
    <w:name w:val="Заголовок 2"/>
    <w:basedOn w:val="Normal"/>
    <w:link w:val="20"/>
    <w:qFormat/>
    <w:rsid w:val="009f5890"/>
    <w:pPr>
      <w:keepNext/>
      <w:jc w:val="center"/>
      <w:outlineLvl w:val="1"/>
    </w:pPr>
    <w:rPr>
      <w:sz w:val="32"/>
      <w:szCs w:val="20"/>
    </w:rPr>
  </w:style>
  <w:style w:type="paragraph" w:styleId="3">
    <w:name w:val="Заголовок 3"/>
    <w:basedOn w:val="Normal"/>
    <w:link w:val="30"/>
    <w:qFormat/>
    <w:rsid w:val="009f5890"/>
    <w:pPr>
      <w:keepNext/>
      <w:spacing w:before="240" w:after="60"/>
      <w:outlineLvl w:val="2"/>
    </w:pPr>
    <w:rPr>
      <w:rFonts w:ascii="Arial" w:hAnsi="Arial" w:cs="Arial"/>
      <w:b/>
      <w:bCs/>
      <w:sz w:val="26"/>
      <w:szCs w:val="26"/>
    </w:rPr>
  </w:style>
  <w:style w:type="paragraph" w:styleId="4">
    <w:name w:val="Заголовок 4"/>
    <w:basedOn w:val="Normal"/>
    <w:link w:val="40"/>
    <w:uiPriority w:val="99"/>
    <w:qFormat/>
    <w:rsid w:val="00727b6d"/>
    <w:pPr>
      <w:keepNext/>
      <w:suppressAutoHyphens w:val="true"/>
      <w:jc w:val="center"/>
      <w:outlineLvl w:val="3"/>
    </w:pPr>
    <w:rPr>
      <w:b/>
      <w:bCs/>
      <w:sz w:val="22"/>
      <w:lang w:val="ru-RU" w:eastAsia="ar-SA"/>
    </w:rPr>
  </w:style>
  <w:style w:type="paragraph" w:styleId="5">
    <w:name w:val="Заголовок 5"/>
    <w:basedOn w:val="Normal"/>
    <w:link w:val="50"/>
    <w:uiPriority w:val="99"/>
    <w:qFormat/>
    <w:rsid w:val="00727b6d"/>
    <w:pPr>
      <w:suppressAutoHyphens w:val="true"/>
      <w:spacing w:before="240" w:after="60"/>
      <w:outlineLvl w:val="4"/>
    </w:pPr>
    <w:rPr>
      <w:b/>
      <w:bCs/>
      <w:i/>
      <w:iCs/>
      <w:sz w:val="26"/>
      <w:szCs w:val="26"/>
      <w:lang w:val="ru-RU" w:eastAsia="ar-SA"/>
    </w:rPr>
  </w:style>
  <w:style w:type="paragraph" w:styleId="6">
    <w:name w:val="Заголовок 6"/>
    <w:basedOn w:val="Normal"/>
    <w:link w:val="60"/>
    <w:uiPriority w:val="99"/>
    <w:qFormat/>
    <w:rsid w:val="00727b6d"/>
    <w:pPr>
      <w:keepNext/>
      <w:suppressAutoHyphens w:val="true"/>
      <w:ind w:left="4320" w:hanging="180"/>
      <w:outlineLvl w:val="5"/>
    </w:pPr>
    <w:rPr>
      <w:sz w:val="32"/>
      <w:lang w:val="ru-RU" w:eastAsia="ar-SA"/>
    </w:rPr>
  </w:style>
  <w:style w:type="paragraph" w:styleId="8">
    <w:name w:val="Заголовок 8"/>
    <w:basedOn w:val="Normal"/>
    <w:link w:val="80"/>
    <w:uiPriority w:val="99"/>
    <w:qFormat/>
    <w:rsid w:val="00727b6d"/>
    <w:pPr>
      <w:widowControl w:val="false"/>
      <w:suppressAutoHyphens w:val="true"/>
      <w:spacing w:before="240" w:after="60"/>
      <w:outlineLvl w:val="7"/>
    </w:pPr>
    <w:rPr>
      <w:rFonts w:ascii="Calibri" w:hAnsi="Calibri"/>
      <w:i/>
      <w:iCs/>
      <w:sz w:val="24"/>
      <w:lang w:val="ru-RU"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9f5890"/>
    <w:rPr>
      <w:sz w:val="32"/>
      <w:lang w:eastAsia="ru-RU"/>
    </w:rPr>
  </w:style>
  <w:style w:type="character" w:styleId="21" w:customStyle="1">
    <w:name w:val="Заголовок 2 Знак"/>
    <w:basedOn w:val="DefaultParagraphFont"/>
    <w:link w:val="2"/>
    <w:qFormat/>
    <w:rsid w:val="009f5890"/>
    <w:rPr>
      <w:sz w:val="32"/>
      <w:lang w:eastAsia="ru-RU"/>
    </w:rPr>
  </w:style>
  <w:style w:type="character" w:styleId="31" w:customStyle="1">
    <w:name w:val="Заголовок 3 Знак"/>
    <w:basedOn w:val="DefaultParagraphFont"/>
    <w:link w:val="3"/>
    <w:qFormat/>
    <w:rsid w:val="009f5890"/>
    <w:rPr>
      <w:rFonts w:ascii="Arial" w:hAnsi="Arial" w:cs="Arial"/>
      <w:b/>
      <w:bCs/>
      <w:sz w:val="26"/>
      <w:szCs w:val="26"/>
      <w:lang w:eastAsia="ru-RU"/>
    </w:rPr>
  </w:style>
  <w:style w:type="character" w:styleId="41" w:customStyle="1">
    <w:name w:val="Заголовок 4 Знак"/>
    <w:basedOn w:val="DefaultParagraphFont"/>
    <w:link w:val="4"/>
    <w:uiPriority w:val="99"/>
    <w:qFormat/>
    <w:rsid w:val="00727b6d"/>
    <w:rPr>
      <w:b/>
      <w:bCs/>
      <w:sz w:val="22"/>
      <w:szCs w:val="24"/>
      <w:lang w:val="ru-RU" w:eastAsia="ar-SA"/>
    </w:rPr>
  </w:style>
  <w:style w:type="character" w:styleId="51" w:customStyle="1">
    <w:name w:val="Заголовок 5 Знак"/>
    <w:basedOn w:val="DefaultParagraphFont"/>
    <w:link w:val="5"/>
    <w:uiPriority w:val="99"/>
    <w:qFormat/>
    <w:rsid w:val="00727b6d"/>
    <w:rPr>
      <w:b/>
      <w:bCs/>
      <w:i/>
      <w:iCs/>
      <w:sz w:val="26"/>
      <w:szCs w:val="26"/>
      <w:lang w:val="ru-RU" w:eastAsia="ar-SA"/>
    </w:rPr>
  </w:style>
  <w:style w:type="character" w:styleId="61" w:customStyle="1">
    <w:name w:val="Заголовок 6 Знак"/>
    <w:basedOn w:val="DefaultParagraphFont"/>
    <w:link w:val="6"/>
    <w:uiPriority w:val="99"/>
    <w:qFormat/>
    <w:rsid w:val="00727b6d"/>
    <w:rPr>
      <w:sz w:val="32"/>
      <w:szCs w:val="24"/>
      <w:lang w:val="ru-RU" w:eastAsia="ar-SA"/>
    </w:rPr>
  </w:style>
  <w:style w:type="character" w:styleId="81" w:customStyle="1">
    <w:name w:val="Заголовок 8 Знак"/>
    <w:basedOn w:val="DefaultParagraphFont"/>
    <w:link w:val="8"/>
    <w:uiPriority w:val="99"/>
    <w:qFormat/>
    <w:rsid w:val="00727b6d"/>
    <w:rPr>
      <w:rFonts w:ascii="Calibri" w:hAnsi="Calibri"/>
      <w:i/>
      <w:iCs/>
      <w:sz w:val="24"/>
      <w:szCs w:val="24"/>
      <w:lang w:val="ru-RU" w:eastAsia="ar-SA"/>
    </w:rPr>
  </w:style>
  <w:style w:type="character" w:styleId="22" w:customStyle="1">
    <w:name w:val="Основной текст с отступом 2 Знак"/>
    <w:basedOn w:val="DefaultParagraphFont"/>
    <w:uiPriority w:val="99"/>
    <w:semiHidden/>
    <w:qFormat/>
    <w:rsid w:val="002a7a97"/>
    <w:rPr>
      <w:sz w:val="28"/>
      <w:szCs w:val="24"/>
      <w:lang w:eastAsia="ru-RU"/>
    </w:rPr>
  </w:style>
  <w:style w:type="character" w:styleId="211" w:customStyle="1">
    <w:name w:val="Основной текст с отступом 2 Знак1"/>
    <w:basedOn w:val="DefaultParagraphFont"/>
    <w:link w:val="21"/>
    <w:qFormat/>
    <w:locked/>
    <w:rsid w:val="002a7a97"/>
    <w:rPr>
      <w:sz w:val="28"/>
      <w:lang w:eastAsia="ru-RU"/>
    </w:rPr>
  </w:style>
  <w:style w:type="character" w:styleId="Style7" w:customStyle="1">
    <w:name w:val="Текст выноски Знак"/>
    <w:basedOn w:val="DefaultParagraphFont"/>
    <w:link w:val="a5"/>
    <w:uiPriority w:val="99"/>
    <w:semiHidden/>
    <w:qFormat/>
    <w:rsid w:val="007c1bf6"/>
    <w:rPr>
      <w:rFonts w:ascii="Tahoma" w:hAnsi="Tahoma" w:cs="Tahoma"/>
      <w:sz w:val="16"/>
      <w:szCs w:val="16"/>
      <w:lang w:eastAsia="ru-RU"/>
    </w:rPr>
  </w:style>
  <w:style w:type="character" w:styleId="Style8" w:customStyle="1">
    <w:name w:val="Основной текст Знак"/>
    <w:basedOn w:val="DefaultParagraphFont"/>
    <w:link w:val="a7"/>
    <w:uiPriority w:val="99"/>
    <w:semiHidden/>
    <w:qFormat/>
    <w:rsid w:val="000b5f53"/>
    <w:rPr>
      <w:sz w:val="28"/>
      <w:szCs w:val="24"/>
      <w:lang w:eastAsia="ru-RU"/>
    </w:rPr>
  </w:style>
  <w:style w:type="character" w:styleId="ListLabel1">
    <w:name w:val="ListLabel 1"/>
    <w:qFormat/>
    <w:rPr>
      <w:rFonts w:cs="Times New Roman"/>
    </w:rPr>
  </w:style>
  <w:style w:type="character" w:styleId="Style9">
    <w:name w:val="Интернет-ссылка"/>
    <w:rPr>
      <w:color w:val="000080"/>
      <w:u w:val="single"/>
      <w:lang w:val="zxx" w:eastAsia="zxx" w:bidi="zxx"/>
    </w:rPr>
  </w:style>
  <w:style w:type="character" w:styleId="ListLabel2">
    <w:name w:val="ListLabel 2"/>
    <w:qFormat/>
    <w:rPr>
      <w:rFonts w:cs="Times New Roman"/>
    </w:rPr>
  </w:style>
  <w:style w:type="paragraph" w:styleId="Style10">
    <w:name w:val="Заголовок"/>
    <w:basedOn w:val="Normal"/>
    <w:next w:val="Style11"/>
    <w:qFormat/>
    <w:pPr>
      <w:keepNext/>
      <w:spacing w:before="240" w:after="120"/>
    </w:pPr>
    <w:rPr>
      <w:rFonts w:ascii="Liberation Sans" w:hAnsi="Liberation Sans" w:eastAsia="Microsoft YaHei" w:cs="Mangal"/>
      <w:sz w:val="28"/>
      <w:szCs w:val="28"/>
    </w:rPr>
  </w:style>
  <w:style w:type="paragraph" w:styleId="Style11">
    <w:name w:val="Основной текст"/>
    <w:basedOn w:val="Normal"/>
    <w:link w:val="a8"/>
    <w:uiPriority w:val="99"/>
    <w:semiHidden/>
    <w:unhideWhenUsed/>
    <w:rsid w:val="000b5f53"/>
    <w:pPr>
      <w:spacing w:before="0" w:after="120"/>
    </w:pPr>
    <w:rPr/>
  </w:style>
  <w:style w:type="paragraph" w:styleId="Style12">
    <w:name w:val="Список"/>
    <w:basedOn w:val="Style11"/>
    <w:pPr/>
    <w:rPr>
      <w:rFonts w:cs="Mangal"/>
    </w:rPr>
  </w:style>
  <w:style w:type="paragraph" w:styleId="Style13">
    <w:name w:val="Название"/>
    <w:basedOn w:val="Normal"/>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NormalWeb">
    <w:name w:val="Normal (Web)"/>
    <w:basedOn w:val="Normal"/>
    <w:uiPriority w:val="99"/>
    <w:unhideWhenUsed/>
    <w:qFormat/>
    <w:rsid w:val="000a0d08"/>
    <w:pPr>
      <w:spacing w:lineRule="atLeast" w:line="360" w:beforeAutospacing="1" w:after="360"/>
    </w:pPr>
    <w:rPr>
      <w:rFonts w:ascii="Open Sans" w:hAnsi="Open Sans"/>
      <w:sz w:val="24"/>
    </w:rPr>
  </w:style>
  <w:style w:type="paragraph" w:styleId="ListBullet">
    <w:name w:val="List Bullet"/>
    <w:basedOn w:val="Normal"/>
    <w:uiPriority w:val="99"/>
    <w:unhideWhenUsed/>
    <w:qFormat/>
    <w:rsid w:val="00727b6d"/>
    <w:pPr>
      <w:spacing w:lineRule="auto" w:line="276" w:before="0" w:after="200"/>
      <w:ind w:left="360" w:hanging="360"/>
      <w:contextualSpacing/>
    </w:pPr>
    <w:rPr>
      <w:rFonts w:ascii="Calibri" w:hAnsi="Calibri"/>
      <w:sz w:val="22"/>
      <w:szCs w:val="22"/>
      <w:lang w:eastAsia="en-US"/>
    </w:rPr>
  </w:style>
  <w:style w:type="paragraph" w:styleId="BodyTextIndent2">
    <w:name w:val="Body Text Indent 2"/>
    <w:basedOn w:val="Normal"/>
    <w:link w:val="210"/>
    <w:unhideWhenUsed/>
    <w:qFormat/>
    <w:rsid w:val="002a7a97"/>
    <w:pPr>
      <w:ind w:firstLine="720"/>
      <w:jc w:val="both"/>
    </w:pPr>
    <w:rPr>
      <w:szCs w:val="20"/>
    </w:rPr>
  </w:style>
  <w:style w:type="paragraph" w:styleId="BalloonText">
    <w:name w:val="Balloon Text"/>
    <w:basedOn w:val="Normal"/>
    <w:link w:val="a6"/>
    <w:uiPriority w:val="99"/>
    <w:semiHidden/>
    <w:unhideWhenUsed/>
    <w:qFormat/>
    <w:rsid w:val="007c1bf6"/>
    <w:pPr/>
    <w:rPr>
      <w:rFonts w:ascii="Tahoma" w:hAnsi="Tahoma" w:cs="Tahoma"/>
      <w:sz w:val="16"/>
      <w:szCs w:val="16"/>
    </w:rPr>
  </w:style>
  <w:style w:type="paragraph" w:styleId="ConsPlusNormal" w:customStyle="1">
    <w:name w:val="ConsPlusNormal"/>
    <w:qFormat/>
    <w:rsid w:val="00035137"/>
    <w:pPr>
      <w:widowControl w:val="false"/>
      <w:bidi w:val="0"/>
      <w:jc w:val="left"/>
    </w:pPr>
    <w:rPr>
      <w:rFonts w:ascii="Arial" w:hAnsi="Arial" w:eastAsia="" w:cs="Arial" w:eastAsiaTheme="minorEastAsia"/>
      <w:color w:val="00000A"/>
      <w:sz w:val="28"/>
      <w:szCs w:val="20"/>
      <w:lang w:val="ru-RU" w:eastAsia="ru-RU" w:bidi="ar-SA"/>
    </w:rPr>
  </w:style>
  <w:style w:type="paragraph" w:styleId="Style15" w:customStyle="1">
    <w:name w:val="Знак"/>
    <w:basedOn w:val="Normal"/>
    <w:qFormat/>
    <w:rsid w:val="00d2225a"/>
    <w:pPr>
      <w:spacing w:beforeAutospacing="1" w:afterAutospacing="1"/>
    </w:pPr>
    <w:rPr>
      <w:rFonts w:ascii="Tahoma" w:hAnsi="Tahoma"/>
      <w:sz w:val="20"/>
      <w:szCs w:val="20"/>
      <w:lang w:val="en-US" w:eastAsia="en-US"/>
    </w:rPr>
  </w:style>
  <w:style w:type="paragraph" w:styleId="NoSpacing">
    <w:name w:val="No Spacing"/>
    <w:qFormat/>
    <w:pPr>
      <w:widowControl/>
      <w:suppressAutoHyphens w:val="true"/>
    </w:pPr>
    <w:rPr>
      <w:rFonts w:ascii="Liberation Serif;Times New Roman" w:hAnsi="Liberation Serif;Times New Roman" w:eastAsia="SimSun;宋体" w:cs="Mangal"/>
      <w:color w:val="auto"/>
      <w:sz w:val="24"/>
      <w:szCs w:val="24"/>
      <w:lang w:val="ru-RU" w:eastAsia="zh-CN" w:bidi="hi-IN"/>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4384B8444BE79B4C30E5A6909944B6EFD7E1CE9EB4A04BEFE7BC5611D7265276A4F5AFCA01D7E18D"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Application>LibreOffice/5.0.3.2$Windows_x86 LibreOffice_project/e5f16313668ac592c1bfb310f4390624e3dbfb75</Application>
  <Paragraphs>93</Paragraphs>
  <Company>КонсультантПлюс Версия 4016.00.46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2017-09-25T08:53:00Z</dcterms:created>
  <dc:creator>Юрий Дмитриевич Верзун</dc:creator>
  <dc:language>ru-RU</dc:language>
  <cp:lastPrinted>2017-06-19T15:06:04Z</cp:lastPrinted>
  <dcterms:modified xsi:type="dcterms:W3CDTF">2017-09-25T09:47:15Z</dcterms:modified>
  <cp:revision>13</cp:revision>
  <dc:title>Федеральный закон от 28.12.2016 N 489-ФЗ"О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4016.00.46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