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firstLine="567"/>
        <w:jc w:val="center"/>
        <w:rPr/>
      </w:pPr>
      <w:r>
        <w:rPr/>
        <w:drawing>
          <wp:inline distT="0" distB="0" distL="0" distR="0">
            <wp:extent cx="1371600" cy="11430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1371600" cy="1143000"/>
                    </a:xfrm>
                    <a:prstGeom prst="rect">
                      <a:avLst/>
                    </a:prstGeom>
                  </pic:spPr>
                </pic:pic>
              </a:graphicData>
            </a:graphic>
          </wp:inline>
        </w:drawing>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center"/>
        <w:rPr/>
      </w:pPr>
      <w:r>
        <w:rPr>
          <w:b/>
          <w:sz w:val="28"/>
          <w:szCs w:val="28"/>
        </w:rPr>
        <w:t>УПРАВЛЕНИЕ ФЕДЕРАЛЬНОЙ АНТИМОНОПОЛЬНОЙ СЛУЖБЫ ПО ХАНТЫ-МАНСИЙСКОМУ АВТОНОМНОМУ ОКРУГУ-ЮГРЕ</w:t>
      </w:r>
    </w:p>
    <w:p>
      <w:pPr>
        <w:pStyle w:val="Normal"/>
        <w:spacing w:lineRule="auto" w:line="360"/>
        <w:ind w:firstLine="567"/>
        <w:jc w:val="both"/>
        <w:rPr>
          <w:b/>
          <w:b/>
          <w:sz w:val="28"/>
          <w:szCs w:val="28"/>
        </w:rPr>
      </w:pPr>
      <w:r>
        <w:rPr>
          <w:b/>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center"/>
        <w:rPr>
          <w:b/>
          <w:b/>
          <w:sz w:val="40"/>
          <w:szCs w:val="40"/>
        </w:rPr>
      </w:pPr>
      <w:r>
        <w:rPr>
          <w:b/>
          <w:sz w:val="40"/>
          <w:szCs w:val="40"/>
        </w:rPr>
        <w:t>ДОКЛАД</w:t>
      </w:r>
    </w:p>
    <w:p>
      <w:pPr>
        <w:pStyle w:val="Normal"/>
        <w:spacing w:lineRule="auto" w:line="360"/>
        <w:ind w:firstLine="567"/>
        <w:jc w:val="center"/>
        <w:rPr/>
      </w:pPr>
      <w:r>
        <w:rPr>
          <w:b/>
          <w:sz w:val="28"/>
          <w:szCs w:val="28"/>
        </w:rPr>
        <w:t xml:space="preserve">Правоприменительная практика Ханты-Мансийского УФАС России   и  руководство по соблюдению обязательных требований антимонопольного законодательства РФ </w:t>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both"/>
        <w:rPr>
          <w:b/>
          <w:b/>
          <w:sz w:val="28"/>
          <w:szCs w:val="28"/>
        </w:rPr>
      </w:pPr>
      <w:r>
        <w:rPr>
          <w:b/>
          <w:sz w:val="28"/>
          <w:szCs w:val="28"/>
        </w:rPr>
      </w:r>
    </w:p>
    <w:p>
      <w:pPr>
        <w:pStyle w:val="Normal"/>
        <w:spacing w:lineRule="auto" w:line="360"/>
        <w:ind w:firstLine="567"/>
        <w:jc w:val="center"/>
        <w:rPr>
          <w:b/>
          <w:b/>
          <w:sz w:val="28"/>
          <w:szCs w:val="28"/>
        </w:rPr>
      </w:pPr>
      <w:r>
        <w:rPr>
          <w:b/>
          <w:sz w:val="28"/>
          <w:szCs w:val="28"/>
        </w:rPr>
        <w:t>2017 год</w:t>
      </w:r>
    </w:p>
    <w:p>
      <w:pPr>
        <w:pStyle w:val="Normal"/>
        <w:spacing w:lineRule="auto" w:line="360"/>
        <w:ind w:firstLine="567"/>
        <w:jc w:val="both"/>
        <w:rPr>
          <w:rStyle w:val="Pagenumber"/>
        </w:rPr>
      </w:pPr>
      <w:r>
        <w:rPr/>
      </w:r>
    </w:p>
    <w:p>
      <w:pPr>
        <w:pStyle w:val="Normal"/>
        <w:tabs>
          <w:tab w:val="left" w:pos="993" w:leader="none"/>
        </w:tabs>
        <w:ind w:firstLine="567"/>
        <w:jc w:val="center"/>
        <w:rPr>
          <w:sz w:val="27"/>
          <w:szCs w:val="27"/>
        </w:rPr>
      </w:pPr>
      <w:r>
        <w:rPr>
          <w:sz w:val="27"/>
          <w:szCs w:val="27"/>
        </w:rPr>
      </w:r>
    </w:p>
    <w:p>
      <w:pPr>
        <w:pStyle w:val="Normal"/>
        <w:tabs>
          <w:tab w:val="left" w:pos="993" w:leader="none"/>
        </w:tabs>
        <w:ind w:firstLine="567"/>
        <w:jc w:val="both"/>
        <w:rPr/>
      </w:pPr>
      <w:r>
        <w:rPr>
          <w:sz w:val="27"/>
          <w:szCs w:val="27"/>
        </w:rPr>
        <w:t>Управление Федеральной антимонопольной службы по Ханты-Мансийскому автономному округу-Югре (далее – Ханты-Мансийское УФАС России)  является территориальным органом Федеральной антимонопольной службы и действует на основании положения, утвержденного  Приказом ФАС России от 23.07.2015 N 649/15 (ред. от 05.04.2017) «Об утверждении Положения о территориальном органе Федеральной антимонопольной службы»</w:t>
      </w:r>
    </w:p>
    <w:p>
      <w:pPr>
        <w:pStyle w:val="Normal"/>
        <w:tabs>
          <w:tab w:val="left" w:pos="993" w:leader="none"/>
        </w:tabs>
        <w:ind w:firstLine="567"/>
        <w:jc w:val="both"/>
        <w:rPr/>
      </w:pPr>
      <w:r>
        <w:rPr>
          <w:sz w:val="27"/>
          <w:szCs w:val="27"/>
        </w:rPr>
        <w:t>В соответствии с указанным Положением Ханты-Мансийское УФАС России  осуществляет в том числе, функции по контролю за соблюдением антимонопольного законодательства территориальными органами федеральных органов государственной власти, органами государственной власти субъектов Российской Федерации, органами местного самоуправления, и иными осуществляющими функции указанными органами органами или организациями, государственными внебюджетными фондами (далее – органы власти), а также рекламы и контролю (надзору) в сфере закупок товаров, работ, услуг отдельными видами юридических лиц.</w:t>
      </w:r>
    </w:p>
    <w:p>
      <w:pPr>
        <w:pStyle w:val="Normal"/>
        <w:tabs>
          <w:tab w:val="left" w:pos="993" w:leader="none"/>
        </w:tabs>
        <w:ind w:firstLine="567"/>
        <w:jc w:val="both"/>
        <w:rPr>
          <w:sz w:val="27"/>
          <w:szCs w:val="27"/>
        </w:rPr>
      </w:pPr>
      <w:r>
        <w:rPr>
          <w:sz w:val="27"/>
          <w:szCs w:val="27"/>
        </w:rPr>
        <w:t>В рамках предоставленных полномочий антимонопольный орган осуществляет:</w:t>
      </w:r>
    </w:p>
    <w:p>
      <w:pPr>
        <w:pStyle w:val="Normal"/>
        <w:tabs>
          <w:tab w:val="left" w:pos="993" w:leader="none"/>
        </w:tabs>
        <w:ind w:firstLine="567"/>
        <w:jc w:val="both"/>
        <w:rPr>
          <w:sz w:val="27"/>
          <w:szCs w:val="27"/>
        </w:rPr>
      </w:pPr>
      <w:r>
        <w:rPr>
          <w:sz w:val="27"/>
          <w:szCs w:val="27"/>
        </w:rPr>
        <w:t>- согласование государственных или муниципальных преференций в случаях, установленных антимонопольным законодательством;</w:t>
      </w:r>
    </w:p>
    <w:p>
      <w:pPr>
        <w:pStyle w:val="ListParagraph"/>
        <w:tabs>
          <w:tab w:val="left" w:pos="993" w:leader="none"/>
        </w:tabs>
        <w:spacing w:lineRule="atLeast" w:line="260" w:before="0" w:after="1"/>
        <w:ind w:left="0" w:firstLine="567"/>
        <w:contextualSpacing/>
        <w:jc w:val="both"/>
        <w:rPr>
          <w:rFonts w:ascii="Times New Roman" w:hAnsi="Times New Roman"/>
          <w:sz w:val="27"/>
          <w:szCs w:val="27"/>
        </w:rPr>
      </w:pPr>
      <w:r>
        <w:rPr>
          <w:rFonts w:ascii="Times New Roman" w:hAnsi="Times New Roman"/>
          <w:sz w:val="27"/>
          <w:szCs w:val="27"/>
        </w:rPr>
        <w:t>- проверки соблюдения антимонопольного законодательства;</w:t>
      </w:r>
    </w:p>
    <w:p>
      <w:pPr>
        <w:pStyle w:val="ListParagraph"/>
        <w:tabs>
          <w:tab w:val="left" w:pos="993" w:leader="none"/>
        </w:tabs>
        <w:spacing w:lineRule="atLeast" w:line="260" w:before="0" w:after="1"/>
        <w:ind w:left="0" w:firstLine="567"/>
        <w:contextualSpacing/>
        <w:jc w:val="both"/>
        <w:rPr>
          <w:rFonts w:ascii="Times New Roman" w:hAnsi="Times New Roman"/>
          <w:sz w:val="27"/>
          <w:szCs w:val="27"/>
        </w:rPr>
      </w:pPr>
      <w:r>
        <w:rPr>
          <w:rFonts w:ascii="Times New Roman" w:hAnsi="Times New Roman"/>
          <w:sz w:val="27"/>
          <w:szCs w:val="27"/>
        </w:rPr>
        <w:t>-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при осуществлении закупок товаров, работ, услуг;</w:t>
      </w:r>
    </w:p>
    <w:p>
      <w:pPr>
        <w:pStyle w:val="ListParagraph"/>
        <w:tabs>
          <w:tab w:val="left" w:pos="993" w:leader="none"/>
        </w:tabs>
        <w:spacing w:lineRule="atLeast" w:line="260" w:before="0" w:after="1"/>
        <w:ind w:left="0" w:firstLine="567"/>
        <w:contextualSpacing/>
        <w:jc w:val="center"/>
        <w:rPr>
          <w:rFonts w:ascii="Times New Roman" w:hAnsi="Times New Roman"/>
          <w:b/>
          <w:b/>
          <w:bCs/>
          <w:sz w:val="27"/>
          <w:szCs w:val="27"/>
          <w:lang w:val="en-US"/>
        </w:rPr>
      </w:pPr>
      <w:r>
        <w:rPr>
          <w:rFonts w:ascii="Times New Roman" w:hAnsi="Times New Roman"/>
          <w:b/>
          <w:bCs/>
          <w:sz w:val="27"/>
          <w:szCs w:val="27"/>
          <w:lang w:val="en-US"/>
        </w:rPr>
        <w:t>I.</w:t>
      </w:r>
    </w:p>
    <w:p>
      <w:pPr>
        <w:pStyle w:val="ListParagraph"/>
        <w:numPr>
          <w:ilvl w:val="0"/>
          <w:numId w:val="0"/>
        </w:numPr>
        <w:tabs>
          <w:tab w:val="left" w:pos="993" w:leader="none"/>
        </w:tabs>
        <w:ind w:left="1260" w:hanging="0"/>
        <w:jc w:val="both"/>
        <w:rPr/>
      </w:pPr>
      <w:r>
        <w:rPr>
          <w:rFonts w:ascii="Times New Roman" w:hAnsi="Times New Roman"/>
          <w:b/>
          <w:sz w:val="27"/>
          <w:szCs w:val="27"/>
          <w:u w:val="none"/>
        </w:rPr>
        <w:t xml:space="preserve">   </w:t>
      </w:r>
      <w:r>
        <w:rPr>
          <w:rFonts w:ascii="Times New Roman" w:hAnsi="Times New Roman"/>
          <w:b/>
          <w:sz w:val="27"/>
          <w:szCs w:val="27"/>
          <w:u w:val="single"/>
        </w:rPr>
        <w:t xml:space="preserve">Типичные нарушения обязательных требований антимонопольного законодательства органами власти. </w:t>
      </w:r>
    </w:p>
    <w:p>
      <w:pPr>
        <w:pStyle w:val="ListParagraph"/>
        <w:numPr>
          <w:ilvl w:val="0"/>
          <w:numId w:val="0"/>
        </w:numPr>
        <w:tabs>
          <w:tab w:val="left" w:pos="993" w:leader="none"/>
        </w:tabs>
        <w:ind w:left="1260" w:hanging="0"/>
        <w:jc w:val="both"/>
        <w:rPr>
          <w:rFonts w:ascii="Times New Roman" w:hAnsi="Times New Roman"/>
          <w:b/>
          <w:b/>
          <w:sz w:val="27"/>
          <w:szCs w:val="27"/>
          <w:u w:val="single"/>
        </w:rPr>
      </w:pPr>
      <w:r>
        <w:rPr/>
      </w:r>
    </w:p>
    <w:p>
      <w:pPr>
        <w:pStyle w:val="ListParagraph"/>
        <w:tabs>
          <w:tab w:val="left" w:pos="993" w:leader="none"/>
        </w:tabs>
        <w:spacing w:lineRule="auto" w:line="240"/>
        <w:ind w:left="0" w:firstLine="567"/>
        <w:jc w:val="both"/>
        <w:rPr>
          <w:rFonts w:ascii="Times New Roman" w:hAnsi="Times New Roman"/>
          <w:sz w:val="27"/>
          <w:szCs w:val="27"/>
        </w:rPr>
      </w:pPr>
      <w:r>
        <w:rPr>
          <w:rFonts w:ascii="Times New Roman" w:hAnsi="Times New Roman"/>
          <w:sz w:val="27"/>
          <w:szCs w:val="27"/>
        </w:rPr>
        <w:t>Наиболее нарушаемой со стороны органов власти является статья 15 Федерального закона от 26.07.2006 №135-ФЗ «О защите конкуренции», согласно которой запрещаются ограничивающие конкуренцию акты, действия (бездействие) органов государственной власти и местного самоуправления, органов и организаций, осуществляющих их функции, организаций, участвующих в предоставлении государственных или муниципальных услуг.</w:t>
      </w:r>
    </w:p>
    <w:p>
      <w:pPr>
        <w:pStyle w:val="Normal"/>
        <w:tabs>
          <w:tab w:val="left" w:pos="993" w:leader="none"/>
        </w:tabs>
        <w:ind w:firstLine="567"/>
        <w:jc w:val="both"/>
        <w:rPr/>
      </w:pPr>
      <w:r>
        <w:rPr>
          <w:sz w:val="27"/>
          <w:szCs w:val="27"/>
        </w:rPr>
        <w:t xml:space="preserve">В 2016 году было выявлено 13 нарушений статьи 15 Закона о защите конкуренции (в 2015 - 49). </w:t>
      </w:r>
    </w:p>
    <w:p>
      <w:pPr>
        <w:pStyle w:val="Normal"/>
        <w:tabs>
          <w:tab w:val="left" w:pos="993" w:leader="none"/>
        </w:tabs>
        <w:ind w:firstLine="567"/>
        <w:jc w:val="both"/>
        <w:rPr>
          <w:sz w:val="27"/>
          <w:szCs w:val="27"/>
        </w:rPr>
      </w:pPr>
      <w:r>
        <w:rPr>
          <w:sz w:val="27"/>
          <w:szCs w:val="27"/>
        </w:rPr>
        <w:t>В 2016 году были выявлены следующие виды нарушений:</w:t>
      </w:r>
    </w:p>
    <w:p>
      <w:pPr>
        <w:pStyle w:val="Normal"/>
        <w:tabs>
          <w:tab w:val="left" w:pos="993" w:leader="none"/>
        </w:tabs>
        <w:ind w:firstLine="567"/>
        <w:jc w:val="both"/>
        <w:rPr/>
      </w:pPr>
      <w:r>
        <w:rPr>
          <w:sz w:val="27"/>
          <w:szCs w:val="27"/>
        </w:rPr>
        <w:t>- необоснованное ограничение участия в торгах -1;</w:t>
      </w:r>
    </w:p>
    <w:p>
      <w:pPr>
        <w:pStyle w:val="Normal"/>
        <w:tabs>
          <w:tab w:val="left" w:pos="993" w:leader="none"/>
        </w:tabs>
        <w:ind w:firstLine="567"/>
        <w:jc w:val="both"/>
        <w:rPr/>
      </w:pPr>
      <w:r>
        <w:rPr>
          <w:sz w:val="27"/>
          <w:szCs w:val="27"/>
        </w:rPr>
        <w:t xml:space="preserve">- принятие акта ограничивающего конкуренцию в сфере организации </w:t>
      </w:r>
      <w:r>
        <w:rPr>
          <w:rStyle w:val="Style17"/>
          <w:rFonts w:eastAsia="Arial Unicode MS"/>
          <w:b w:val="false"/>
          <w:sz w:val="27"/>
          <w:szCs w:val="27"/>
        </w:rPr>
        <w:t>пассажирских автоперевозок транспортом общего пользования</w:t>
      </w:r>
      <w:r>
        <w:rPr>
          <w:sz w:val="27"/>
          <w:szCs w:val="27"/>
        </w:rPr>
        <w:t xml:space="preserve"> – 6;</w:t>
      </w:r>
    </w:p>
    <w:p>
      <w:pPr>
        <w:pStyle w:val="Normal"/>
        <w:tabs>
          <w:tab w:val="left" w:pos="993" w:leader="none"/>
        </w:tabs>
        <w:ind w:firstLine="567"/>
        <w:jc w:val="both"/>
        <w:rPr/>
      </w:pPr>
      <w:r>
        <w:rPr>
          <w:sz w:val="27"/>
          <w:szCs w:val="27"/>
        </w:rPr>
        <w:t>- предоставление муниципального имущества без проведения торгов и без согласия антимонопольного органа – 1;</w:t>
      </w:r>
    </w:p>
    <w:p>
      <w:pPr>
        <w:pStyle w:val="Normal"/>
        <w:tabs>
          <w:tab w:val="left" w:pos="993" w:leader="none"/>
        </w:tabs>
        <w:ind w:firstLine="567"/>
        <w:jc w:val="both"/>
        <w:rPr/>
      </w:pPr>
      <w:r>
        <w:rPr>
          <w:sz w:val="27"/>
          <w:szCs w:val="27"/>
        </w:rPr>
        <w:t>- необоснованное препятствование хозяйственной деятельности – 1;</w:t>
      </w:r>
    </w:p>
    <w:p>
      <w:pPr>
        <w:pStyle w:val="Normal"/>
        <w:tabs>
          <w:tab w:val="left" w:pos="993" w:leader="none"/>
        </w:tabs>
        <w:ind w:firstLine="567"/>
        <w:jc w:val="both"/>
        <w:rPr>
          <w:sz w:val="27"/>
          <w:szCs w:val="27"/>
        </w:rPr>
      </w:pPr>
      <w:r>
        <w:rPr>
          <w:sz w:val="27"/>
          <w:szCs w:val="27"/>
        </w:rPr>
        <w:t>- бездействие по не проведению конкурсных процедур по отбору управляющей организации — 1;</w:t>
      </w:r>
    </w:p>
    <w:p>
      <w:pPr>
        <w:pStyle w:val="Normal"/>
        <w:tabs>
          <w:tab w:val="left" w:pos="993" w:leader="none"/>
        </w:tabs>
        <w:ind w:firstLine="567"/>
        <w:jc w:val="both"/>
        <w:rPr/>
      </w:pPr>
      <w:r>
        <w:rPr>
          <w:sz w:val="27"/>
          <w:szCs w:val="27"/>
        </w:rPr>
        <w:t>- предоставление преимущественного условия в осуществлении хозяйственной деятельности — 2 ;</w:t>
      </w:r>
    </w:p>
    <w:p>
      <w:pPr>
        <w:pStyle w:val="Normal"/>
        <w:tabs>
          <w:tab w:val="left" w:pos="993" w:leader="none"/>
        </w:tabs>
        <w:ind w:firstLine="567"/>
        <w:jc w:val="both"/>
        <w:rPr/>
      </w:pPr>
      <w:r>
        <w:rPr>
          <w:sz w:val="27"/>
          <w:szCs w:val="27"/>
        </w:rPr>
        <w:t>- принятие акта ограничивающего конкуренцию в сфере использования и владения государственным имуществом — 1 ;</w:t>
      </w:r>
    </w:p>
    <w:p>
      <w:pPr>
        <w:pStyle w:val="Normal"/>
        <w:tabs>
          <w:tab w:val="left" w:pos="993" w:leader="none"/>
        </w:tabs>
        <w:ind w:firstLine="567"/>
        <w:jc w:val="both"/>
        <w:rPr/>
      </w:pPr>
      <w:r>
        <w:rPr>
          <w:color w:val="000000"/>
          <w:sz w:val="27"/>
          <w:szCs w:val="27"/>
        </w:rPr>
        <w:t>По признакам нарушения статьи 15 Закона о защите конкуренции в 2016 году выдано 13 предупреждений, 1 предупреждение обжаловано и признано судом законным, все предупреждения исполнены в полном объеме в установленный срок.</w:t>
      </w:r>
    </w:p>
    <w:p>
      <w:pPr>
        <w:pStyle w:val="Normal"/>
        <w:tabs>
          <w:tab w:val="left" w:pos="993" w:leader="none"/>
        </w:tabs>
        <w:ind w:firstLine="567"/>
        <w:jc w:val="both"/>
        <w:rPr>
          <w:sz w:val="27"/>
          <w:szCs w:val="27"/>
        </w:rPr>
      </w:pPr>
      <w:r>
        <w:rPr>
          <w:sz w:val="27"/>
          <w:szCs w:val="27"/>
        </w:rPr>
      </w:r>
    </w:p>
    <w:p>
      <w:pPr>
        <w:pStyle w:val="13"/>
        <w:shd w:val="clear" w:color="auto" w:fill="auto"/>
        <w:tabs>
          <w:tab w:val="left" w:pos="993" w:leader="none"/>
        </w:tabs>
        <w:spacing w:lineRule="auto" w:line="240" w:before="0" w:after="240"/>
        <w:ind w:right="500" w:firstLine="567"/>
        <w:jc w:val="both"/>
        <w:rPr/>
      </w:pPr>
      <w:r>
        <w:rPr/>
        <w:t>По-прежнему нарушениями антимонопольного законодательства со стороны органов власти являются:</w:t>
      </w:r>
    </w:p>
    <w:p>
      <w:pPr>
        <w:pStyle w:val="Normal"/>
        <w:tabs>
          <w:tab w:val="left" w:pos="993" w:leader="none"/>
        </w:tabs>
        <w:ind w:firstLine="567"/>
        <w:jc w:val="both"/>
        <w:rPr>
          <w:sz w:val="27"/>
          <w:szCs w:val="27"/>
        </w:rPr>
      </w:pPr>
      <w:r>
        <w:rPr>
          <w:sz w:val="27"/>
          <w:szCs w:val="27"/>
        </w:rPr>
        <w:t>Рассмотрим некоторые из указанных нарушений.</w:t>
      </w:r>
    </w:p>
    <w:p>
      <w:pPr>
        <w:pStyle w:val="Normal"/>
        <w:tabs>
          <w:tab w:val="left" w:pos="993" w:leader="none"/>
        </w:tabs>
        <w:ind w:firstLine="567"/>
        <w:jc w:val="both"/>
        <w:rPr>
          <w:sz w:val="27"/>
          <w:szCs w:val="27"/>
        </w:rPr>
      </w:pPr>
      <w:r>
        <w:rPr>
          <w:sz w:val="27"/>
          <w:szCs w:val="27"/>
        </w:rPr>
      </w:r>
    </w:p>
    <w:p>
      <w:pPr>
        <w:pStyle w:val="ListParagraph"/>
        <w:numPr>
          <w:ilvl w:val="0"/>
          <w:numId w:val="1"/>
        </w:numPr>
        <w:tabs>
          <w:tab w:val="left" w:pos="993" w:leader="none"/>
        </w:tabs>
        <w:spacing w:lineRule="auto" w:line="240"/>
        <w:ind w:left="0" w:firstLine="567"/>
        <w:jc w:val="both"/>
        <w:rPr>
          <w:rFonts w:ascii="Times New Roman" w:hAnsi="Times New Roman"/>
          <w:b/>
          <w:b/>
          <w:sz w:val="27"/>
          <w:szCs w:val="27"/>
        </w:rPr>
      </w:pPr>
      <w:r>
        <w:rPr>
          <w:rFonts w:ascii="Times New Roman" w:hAnsi="Times New Roman"/>
          <w:b/>
          <w:sz w:val="27"/>
          <w:szCs w:val="27"/>
        </w:rPr>
        <w:t>Нарушение порядка передачи  государственного и муниципального имущества.</w:t>
      </w:r>
    </w:p>
    <w:p>
      <w:pPr>
        <w:pStyle w:val="ListParagraph"/>
        <w:tabs>
          <w:tab w:val="left" w:pos="993" w:leader="none"/>
        </w:tabs>
        <w:spacing w:lineRule="auto" w:line="240"/>
        <w:ind w:left="0" w:firstLine="567"/>
        <w:jc w:val="both"/>
        <w:rPr>
          <w:rFonts w:ascii="Times New Roman" w:hAnsi="Times New Roman"/>
          <w:sz w:val="27"/>
          <w:szCs w:val="27"/>
        </w:rPr>
      </w:pPr>
      <w:r>
        <w:rPr>
          <w:rFonts w:ascii="Times New Roman" w:hAnsi="Times New Roman"/>
          <w:sz w:val="27"/>
          <w:szCs w:val="27"/>
        </w:rPr>
        <w:t xml:space="preserve">Передача муниципального или государственного имущества конкретному хозяйствующему субъекту без проведения торгов (конкурса, аукциона) создает для данного субъекта преимущественные условия в получении указанного имущества во временное владение и (или) пользование и препятствует доступу к государственному или муниципальному ресурсу неопределенного круга лиц, которые также могут иметь намерение приобрести вышеозначенные права в отношении обозначенного имущества. </w:t>
      </w:r>
    </w:p>
    <w:p>
      <w:pPr>
        <w:pStyle w:val="Style31"/>
        <w:widowControl/>
        <w:tabs>
          <w:tab w:val="left" w:pos="993" w:leader="none"/>
        </w:tabs>
        <w:spacing w:lineRule="auto" w:line="240"/>
        <w:ind w:firstLine="567"/>
        <w:rPr/>
      </w:pPr>
      <w:r>
        <w:rPr>
          <w:i/>
          <w:sz w:val="27"/>
          <w:szCs w:val="27"/>
        </w:rPr>
        <w:t>Например:</w:t>
      </w:r>
      <w:r>
        <w:rPr>
          <w:sz w:val="27"/>
          <w:szCs w:val="27"/>
        </w:rPr>
        <w:t xml:space="preserve"> </w:t>
      </w:r>
      <w:r>
        <w:rPr>
          <w:i/>
          <w:iCs/>
          <w:sz w:val="27"/>
          <w:szCs w:val="27"/>
        </w:rPr>
        <w:t>Ханты-Мансийским УФАС России</w:t>
      </w:r>
      <w:r>
        <w:rPr>
          <w:sz w:val="27"/>
          <w:szCs w:val="27"/>
        </w:rPr>
        <w:t xml:space="preserve"> </w:t>
      </w:r>
      <w:r>
        <w:rPr>
          <w:i/>
          <w:iCs/>
          <w:sz w:val="27"/>
          <w:szCs w:val="27"/>
        </w:rPr>
        <w:t>в 2016 году</w:t>
      </w:r>
      <w:r>
        <w:rPr>
          <w:sz w:val="27"/>
          <w:szCs w:val="27"/>
        </w:rPr>
        <w:t xml:space="preserve"> </w:t>
      </w:r>
      <w:r>
        <w:rPr>
          <w:i/>
          <w:sz w:val="27"/>
          <w:szCs w:val="27"/>
        </w:rPr>
        <w:t xml:space="preserve">рассмотрено 9 дел по факту заключения договора аренды муниципального имущества - нежилого помещения с хозяйствующими субъектами без проведения торгов в нарушение части 1 статьи 17.1 Закона о защите конкуренции. Было установлено, что  Администрация заключала договоры аренды в отношении муниципального недвижимого имущества на срок 30 дней, </w:t>
      </w:r>
      <w:r>
        <w:rPr>
          <w:i/>
          <w:sz w:val="27"/>
          <w:szCs w:val="27"/>
        </w:rPr>
        <w:t xml:space="preserve">в соответствии с </w:t>
      </w:r>
      <w:r>
        <w:rPr>
          <w:i/>
          <w:sz w:val="27"/>
          <w:szCs w:val="27"/>
        </w:rPr>
        <w:t xml:space="preserve">пунктом 11 части 1 статьи 17.1 Закона о защите конкуренции. Однако, Администрация по окончанию 30 дневного срока, перезаключала договоры на новый срок неоднократно, </w:t>
      </w:r>
      <w:r>
        <w:rPr>
          <w:i/>
          <w:sz w:val="27"/>
          <w:szCs w:val="27"/>
        </w:rPr>
        <w:t>что запрещено указанной нормой.</w:t>
      </w:r>
      <w:r>
        <w:rPr>
          <w:i/>
          <w:sz w:val="27"/>
          <w:szCs w:val="27"/>
        </w:rPr>
        <w:t xml:space="preserve"> </w:t>
      </w:r>
      <w:r>
        <w:rPr>
          <w:i/>
          <w:sz w:val="27"/>
          <w:szCs w:val="27"/>
        </w:rPr>
        <w:t>Таким образом, своими действиями Администрация</w:t>
      </w:r>
      <w:r>
        <w:rPr>
          <w:i/>
          <w:sz w:val="27"/>
          <w:szCs w:val="27"/>
        </w:rPr>
        <w:t xml:space="preserve"> необоснованно предоставля</w:t>
      </w:r>
      <w:r>
        <w:rPr>
          <w:i/>
          <w:sz w:val="27"/>
          <w:szCs w:val="27"/>
        </w:rPr>
        <w:t>ла</w:t>
      </w:r>
      <w:r>
        <w:rPr>
          <w:i/>
          <w:sz w:val="27"/>
          <w:szCs w:val="27"/>
        </w:rPr>
        <w:t xml:space="preserve"> преимущественные условия хозяйствующим субъектам. </w:t>
      </w:r>
    </w:p>
    <w:p>
      <w:pPr>
        <w:pStyle w:val="Style31"/>
        <w:widowControl/>
        <w:tabs>
          <w:tab w:val="left" w:pos="993" w:leader="none"/>
        </w:tabs>
        <w:spacing w:lineRule="auto" w:line="240"/>
        <w:ind w:firstLine="567"/>
        <w:rPr/>
      </w:pPr>
      <w:r>
        <w:rPr>
          <w:i/>
          <w:sz w:val="27"/>
          <w:szCs w:val="27"/>
        </w:rPr>
        <w:t xml:space="preserve">Кроме того, был установлен факт передачи муниципального имущества в пользование хозяйствующему субъекту на безвозмездной основе, при наличии акта органа местного самоуправления который запрещал передавать имущества на таких условиях. Следовательно был </w:t>
      </w:r>
      <w:r>
        <w:rPr>
          <w:i/>
          <w:sz w:val="27"/>
          <w:szCs w:val="27"/>
          <w:lang w:eastAsia="ru-RU"/>
        </w:rPr>
        <w:t>причинен ущерб бюджету Администрации, в виде не поступления в бюджет арендных платежей.</w:t>
      </w:r>
    </w:p>
    <w:p>
      <w:pPr>
        <w:pStyle w:val="Style31"/>
        <w:widowControl/>
        <w:tabs>
          <w:tab w:val="left" w:pos="993" w:leader="none"/>
        </w:tabs>
        <w:spacing w:lineRule="auto" w:line="240"/>
        <w:ind w:firstLine="567"/>
        <w:rPr/>
      </w:pPr>
      <w:r>
        <w:rPr>
          <w:i/>
          <w:sz w:val="27"/>
          <w:szCs w:val="27"/>
        </w:rPr>
        <w:t xml:space="preserve">     </w:t>
      </w:r>
    </w:p>
    <w:p>
      <w:pPr>
        <w:pStyle w:val="Normal"/>
        <w:tabs>
          <w:tab w:val="left" w:pos="993" w:leader="none"/>
        </w:tabs>
        <w:ind w:firstLine="567"/>
        <w:jc w:val="both"/>
        <w:rPr>
          <w:sz w:val="27"/>
          <w:szCs w:val="27"/>
        </w:rPr>
      </w:pPr>
      <w:r>
        <w:rPr>
          <w:sz w:val="27"/>
          <w:szCs w:val="27"/>
        </w:rPr>
        <w:t>Законодательством РФ предусмотрены механизмы предоставления государственного или муниципального имущества, иных объектов гражданских прав либо имущественных льгот и органы власти предпочитают их использовать, даже в тех случаях, когда это противоречит антимонопольному законодательству.</w:t>
      </w:r>
    </w:p>
    <w:p>
      <w:pPr>
        <w:pStyle w:val="Normal"/>
        <w:tabs>
          <w:tab w:val="left" w:pos="993" w:leader="none"/>
        </w:tabs>
        <w:ind w:firstLine="567"/>
        <w:jc w:val="both"/>
        <w:rPr>
          <w:sz w:val="27"/>
          <w:szCs w:val="27"/>
        </w:rPr>
      </w:pPr>
      <w:r>
        <w:rPr>
          <w:sz w:val="27"/>
          <w:szCs w:val="27"/>
        </w:rPr>
        <w:t>Передача прав владения и (или) пользования в отношении государственного или муниципального имущества путем проведения конкурса или аукциона позволяет обеспечить равный доступ к указанному имуществу всех заинтересованных в приобретении прав владения и (или) пользования в отношении государственного или муниципального имущества лиц и препятствует ограничению, недопущению, устранению конкуренции.</w:t>
      </w:r>
    </w:p>
    <w:p>
      <w:pPr>
        <w:pStyle w:val="Normal"/>
        <w:tabs>
          <w:tab w:val="left" w:pos="993" w:leader="none"/>
        </w:tabs>
        <w:ind w:firstLine="567"/>
        <w:jc w:val="both"/>
        <w:rPr/>
      </w:pPr>
      <w:r>
        <w:rPr>
          <w:sz w:val="27"/>
          <w:szCs w:val="27"/>
        </w:rPr>
        <w:t>Таким образом, передача имущественных прав в отношении государственного или муниципального имущества с использованием публичных процедур (конкурсов, аукционов) должна осуществляться в соответствии со ст</w:t>
      </w:r>
      <w:r>
        <w:rPr>
          <w:sz w:val="27"/>
          <w:szCs w:val="27"/>
        </w:rPr>
        <w:t>атьей</w:t>
      </w:r>
      <w:r>
        <w:rPr>
          <w:sz w:val="27"/>
          <w:szCs w:val="27"/>
        </w:rPr>
        <w:t xml:space="preserve"> 17.1 Закона о защите конкуренции в </w:t>
      </w:r>
      <w:r>
        <w:rPr>
          <w:sz w:val="27"/>
          <w:szCs w:val="27"/>
          <w:u w:val="single"/>
        </w:rPr>
        <w:t>приоритетном порядке</w:t>
      </w:r>
      <w:r>
        <w:rPr>
          <w:sz w:val="27"/>
          <w:szCs w:val="27"/>
        </w:rPr>
        <w:t xml:space="preserve"> по сравнению с предоставлением таких прав конкретному хозяйствующему субъекту без проведения торгов, в том числе и путем предоставления государственной или  муниципальной преференции.</w:t>
      </w:r>
    </w:p>
    <w:p>
      <w:pPr>
        <w:pStyle w:val="Normal"/>
        <w:tabs>
          <w:tab w:val="left" w:pos="993" w:leader="none"/>
        </w:tabs>
        <w:ind w:firstLine="567"/>
        <w:jc w:val="center"/>
        <w:rPr>
          <w:b/>
          <w:b/>
          <w:bCs/>
          <w:sz w:val="27"/>
          <w:szCs w:val="27"/>
          <w:lang w:val="en-US"/>
        </w:rPr>
      </w:pPr>
      <w:r>
        <w:rPr>
          <w:b/>
          <w:bCs/>
          <w:sz w:val="27"/>
          <w:szCs w:val="27"/>
          <w:lang w:val="en-US"/>
        </w:rPr>
        <w:t>II.</w:t>
      </w:r>
    </w:p>
    <w:p>
      <w:pPr>
        <w:pStyle w:val="ListParagraph"/>
        <w:numPr>
          <w:ilvl w:val="0"/>
          <w:numId w:val="0"/>
        </w:numPr>
        <w:tabs>
          <w:tab w:val="left" w:pos="993" w:leader="none"/>
        </w:tabs>
        <w:spacing w:lineRule="auto" w:line="240"/>
        <w:ind w:left="1211" w:hanging="0"/>
        <w:jc w:val="center"/>
        <w:rPr>
          <w:b/>
          <w:b/>
          <w:bCs/>
        </w:rPr>
      </w:pPr>
      <w:r>
        <w:rPr>
          <w:rFonts w:ascii="Times New Roman" w:hAnsi="Times New Roman"/>
          <w:b/>
          <w:bCs/>
          <w:sz w:val="27"/>
          <w:szCs w:val="27"/>
        </w:rPr>
        <w:t xml:space="preserve">  </w:t>
      </w:r>
      <w:r>
        <w:rPr>
          <w:rFonts w:ascii="Times New Roman" w:hAnsi="Times New Roman"/>
          <w:b/>
          <w:bCs/>
          <w:sz w:val="27"/>
          <w:szCs w:val="27"/>
        </w:rPr>
        <w:t>Предоставление государственных и муниципальных преференций.</w:t>
      </w:r>
    </w:p>
    <w:p>
      <w:pPr>
        <w:pStyle w:val="ListParagraph"/>
        <w:numPr>
          <w:ilvl w:val="0"/>
          <w:numId w:val="0"/>
        </w:numPr>
        <w:tabs>
          <w:tab w:val="left" w:pos="993" w:leader="none"/>
        </w:tabs>
        <w:spacing w:lineRule="auto" w:line="240"/>
        <w:ind w:left="1211" w:hanging="0"/>
        <w:jc w:val="center"/>
        <w:rPr>
          <w:rFonts w:ascii="Times New Roman" w:hAnsi="Times New Roman"/>
          <w:b/>
          <w:b/>
          <w:sz w:val="27"/>
          <w:szCs w:val="27"/>
        </w:rPr>
      </w:pPr>
      <w:r>
        <w:rPr>
          <w:b/>
          <w:bCs/>
        </w:rPr>
      </w:r>
    </w:p>
    <w:p>
      <w:pPr>
        <w:pStyle w:val="ListParagraph"/>
        <w:tabs>
          <w:tab w:val="left" w:pos="993" w:leader="none"/>
        </w:tabs>
        <w:spacing w:lineRule="auto" w:line="240"/>
        <w:ind w:left="0" w:firstLine="567"/>
        <w:jc w:val="both"/>
        <w:rPr>
          <w:rFonts w:ascii="Times New Roman" w:hAnsi="Times New Roman"/>
          <w:sz w:val="27"/>
          <w:szCs w:val="27"/>
        </w:rPr>
      </w:pPr>
      <w:r>
        <w:rPr>
          <w:rFonts w:ascii="Times New Roman" w:hAnsi="Times New Roman"/>
          <w:sz w:val="27"/>
          <w:szCs w:val="27"/>
        </w:rPr>
        <w:t>Государственные или муниципальные преференции  - это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 (ст.4 Закона о защите конкуренции).</w:t>
      </w:r>
    </w:p>
    <w:p>
      <w:pPr>
        <w:pStyle w:val="ListParagraph"/>
        <w:tabs>
          <w:tab w:val="left" w:pos="993" w:leader="none"/>
        </w:tabs>
        <w:spacing w:lineRule="auto" w:line="240"/>
        <w:ind w:left="0" w:firstLine="567"/>
        <w:jc w:val="both"/>
        <w:rPr/>
      </w:pPr>
      <w:r>
        <w:rPr>
          <w:rFonts w:ascii="Times New Roman" w:hAnsi="Times New Roman"/>
          <w:sz w:val="27"/>
          <w:szCs w:val="27"/>
        </w:rPr>
        <w:t xml:space="preserve">Поддержание органами власти хозяйствующих субъектов путем предоставления различных преимуществ не должно нарушать конкуренцию среди участников товарного рынка, поэтому предоставление государственных или муниципальных преференций регулируется и контролируется антимонопольным законодательством и в том числе Федеральным законом от 26.07.2006 </w:t>
      </w:r>
      <w:r>
        <w:rPr>
          <w:rFonts w:ascii="Times New Roman" w:hAnsi="Times New Roman"/>
          <w:sz w:val="27"/>
          <w:szCs w:val="27"/>
        </w:rPr>
        <w:t xml:space="preserve">№ </w:t>
      </w:r>
      <w:r>
        <w:rPr>
          <w:rFonts w:ascii="Times New Roman" w:hAnsi="Times New Roman"/>
          <w:sz w:val="27"/>
          <w:szCs w:val="27"/>
        </w:rPr>
        <w:t>135-ФЗ «О защите конкуренции»</w:t>
      </w:r>
      <w:r>
        <w:rPr>
          <w:rFonts w:ascii="Times New Roman" w:hAnsi="Times New Roman"/>
          <w:color w:val="727171"/>
          <w:sz w:val="27"/>
          <w:szCs w:val="27"/>
        </w:rPr>
        <w:t>.</w:t>
      </w:r>
    </w:p>
    <w:p>
      <w:pPr>
        <w:pStyle w:val="ListParagraph"/>
        <w:tabs>
          <w:tab w:val="left" w:pos="993" w:leader="none"/>
        </w:tabs>
        <w:spacing w:lineRule="auto" w:line="240"/>
        <w:ind w:left="0" w:firstLine="567"/>
        <w:jc w:val="both"/>
        <w:rPr>
          <w:rFonts w:ascii="Times New Roman" w:hAnsi="Times New Roman"/>
          <w:sz w:val="27"/>
          <w:szCs w:val="27"/>
        </w:rPr>
      </w:pPr>
      <w:r>
        <w:rPr>
          <w:rFonts w:ascii="Times New Roman" w:hAnsi="Times New Roman"/>
          <w:sz w:val="27"/>
          <w:szCs w:val="27"/>
        </w:rPr>
        <w:t>Основные нарушения при предоставлении государственных или муниципальных преференций связаны со следующим:</w:t>
      </w:r>
    </w:p>
    <w:p>
      <w:pPr>
        <w:pStyle w:val="ListParagraph"/>
        <w:numPr>
          <w:ilvl w:val="0"/>
          <w:numId w:val="0"/>
        </w:numPr>
        <w:tabs>
          <w:tab w:val="left" w:pos="993" w:leader="none"/>
        </w:tabs>
        <w:spacing w:lineRule="auto" w:line="240"/>
        <w:ind w:left="1931" w:hanging="0"/>
        <w:jc w:val="both"/>
        <w:outlineLvl w:val="1"/>
        <w:rPr/>
      </w:pPr>
      <w:r>
        <w:rPr>
          <w:rFonts w:ascii="Times New Roman" w:hAnsi="Times New Roman"/>
          <w:b/>
          <w:i/>
          <w:sz w:val="27"/>
          <w:szCs w:val="27"/>
          <w:lang w:val="en-US"/>
        </w:rPr>
        <w:t xml:space="preserve">    </w:t>
      </w:r>
      <w:r>
        <w:rPr>
          <w:rFonts w:ascii="Times New Roman" w:hAnsi="Times New Roman"/>
          <w:b/>
          <w:i/>
          <w:sz w:val="27"/>
          <w:szCs w:val="27"/>
          <w:lang w:val="en-US"/>
        </w:rPr>
        <w:t xml:space="preserve">1. </w:t>
      </w:r>
      <w:r>
        <w:rPr>
          <w:rFonts w:ascii="Times New Roman" w:hAnsi="Times New Roman"/>
          <w:b/>
          <w:i/>
          <w:sz w:val="27"/>
          <w:szCs w:val="27"/>
        </w:rPr>
        <w:t>Отсутствие предварительного согласия антимонопольного органа</w:t>
      </w:r>
      <w:r>
        <w:rPr>
          <w:rFonts w:ascii="Times New Roman" w:hAnsi="Times New Roman"/>
          <w:b/>
          <w:sz w:val="27"/>
          <w:szCs w:val="27"/>
        </w:rPr>
        <w:t xml:space="preserve"> </w:t>
      </w:r>
      <w:r>
        <w:rPr>
          <w:rFonts w:ascii="Times New Roman" w:hAnsi="Times New Roman"/>
          <w:sz w:val="27"/>
          <w:szCs w:val="27"/>
        </w:rPr>
        <w:t>является одним из нарушений предоставления государственных или муниципальных преференций, т.к. предоставление преимущества хозяйствующему субъекту влияет на конкуренцию и развитие товарного рынка в целом, что недопустимо в соответствии с антимонопольным законодательством.</w:t>
      </w:r>
    </w:p>
    <w:p>
      <w:pPr>
        <w:pStyle w:val="ListParagraph"/>
        <w:numPr>
          <w:ilvl w:val="0"/>
          <w:numId w:val="0"/>
        </w:numPr>
        <w:tabs>
          <w:tab w:val="left" w:pos="993" w:leader="none"/>
        </w:tabs>
        <w:spacing w:lineRule="auto" w:line="240"/>
        <w:ind w:left="0" w:firstLine="567"/>
        <w:jc w:val="both"/>
        <w:outlineLvl w:val="1"/>
        <w:rPr>
          <w:rFonts w:ascii="Times New Roman" w:hAnsi="Times New Roman"/>
          <w:i/>
          <w:i/>
          <w:sz w:val="27"/>
          <w:szCs w:val="27"/>
          <w:u w:val="single"/>
        </w:rPr>
      </w:pPr>
      <w:r>
        <w:rPr>
          <w:rFonts w:ascii="Times New Roman" w:hAnsi="Times New Roman"/>
          <w:i/>
          <w:sz w:val="27"/>
          <w:szCs w:val="27"/>
          <w:u w:val="single"/>
        </w:rPr>
      </w:r>
    </w:p>
    <w:p>
      <w:pPr>
        <w:pStyle w:val="ListParagraph"/>
        <w:numPr>
          <w:ilvl w:val="0"/>
          <w:numId w:val="0"/>
        </w:numPr>
        <w:tabs>
          <w:tab w:val="left" w:pos="993" w:leader="none"/>
        </w:tabs>
        <w:spacing w:lineRule="auto" w:line="240"/>
        <w:ind w:left="0" w:firstLine="567"/>
        <w:jc w:val="both"/>
        <w:outlineLvl w:val="1"/>
        <w:rPr/>
      </w:pPr>
      <w:r>
        <w:rPr>
          <w:rFonts w:ascii="Times New Roman" w:hAnsi="Times New Roman"/>
          <w:i/>
          <w:sz w:val="27"/>
          <w:szCs w:val="27"/>
          <w:u w:val="single"/>
        </w:rPr>
        <w:t>Например</w:t>
      </w:r>
      <w:r>
        <w:rPr>
          <w:rFonts w:ascii="Times New Roman" w:hAnsi="Times New Roman"/>
          <w:sz w:val="27"/>
          <w:szCs w:val="27"/>
        </w:rPr>
        <w:t>: А</w:t>
      </w:r>
      <w:r>
        <w:rPr>
          <w:rFonts w:ascii="Times New Roman" w:hAnsi="Times New Roman"/>
          <w:i/>
          <w:sz w:val="27"/>
          <w:szCs w:val="27"/>
        </w:rPr>
        <w:t>дминистрацией в нарушение п</w:t>
      </w:r>
      <w:r>
        <w:rPr>
          <w:rFonts w:ascii="Times New Roman" w:hAnsi="Times New Roman"/>
          <w:i/>
          <w:sz w:val="27"/>
          <w:szCs w:val="27"/>
        </w:rPr>
        <w:t>ункта</w:t>
      </w:r>
      <w:r>
        <w:rPr>
          <w:rFonts w:ascii="Times New Roman" w:hAnsi="Times New Roman"/>
          <w:i/>
          <w:sz w:val="27"/>
          <w:szCs w:val="27"/>
        </w:rPr>
        <w:t xml:space="preserve"> 7 ч</w:t>
      </w:r>
      <w:r>
        <w:rPr>
          <w:rFonts w:ascii="Times New Roman" w:hAnsi="Times New Roman"/>
          <w:i/>
          <w:sz w:val="27"/>
          <w:szCs w:val="27"/>
        </w:rPr>
        <w:t xml:space="preserve">асти </w:t>
      </w:r>
      <w:r>
        <w:rPr>
          <w:rFonts w:ascii="Times New Roman" w:hAnsi="Times New Roman"/>
          <w:i/>
          <w:sz w:val="27"/>
          <w:szCs w:val="27"/>
        </w:rPr>
        <w:t>1 ст</w:t>
      </w:r>
      <w:r>
        <w:rPr>
          <w:rFonts w:ascii="Times New Roman" w:hAnsi="Times New Roman"/>
          <w:i/>
          <w:sz w:val="27"/>
          <w:szCs w:val="27"/>
        </w:rPr>
        <w:t xml:space="preserve">атьи </w:t>
      </w:r>
      <w:r>
        <w:rPr>
          <w:rFonts w:ascii="Times New Roman" w:hAnsi="Times New Roman"/>
          <w:i/>
          <w:sz w:val="27"/>
          <w:szCs w:val="27"/>
        </w:rPr>
        <w:t xml:space="preserve">15 Закона о защите конкуренции, было предоставлено в аренду муниципальное недвижимое имущество – электросетевое хозяйство, хозяйствующему субъекту без соблюдения процедур, предусмотренных антимонопольным законодательством. </w:t>
      </w:r>
    </w:p>
    <w:p>
      <w:pPr>
        <w:pStyle w:val="ListParagraph"/>
        <w:numPr>
          <w:ilvl w:val="0"/>
          <w:numId w:val="0"/>
        </w:numPr>
        <w:tabs>
          <w:tab w:val="left" w:pos="993" w:leader="none"/>
        </w:tabs>
        <w:spacing w:lineRule="auto" w:line="240"/>
        <w:ind w:left="0" w:firstLine="567"/>
        <w:jc w:val="both"/>
        <w:outlineLvl w:val="1"/>
        <w:rPr/>
      </w:pPr>
      <w:r>
        <w:rPr>
          <w:rFonts w:ascii="Times New Roman" w:hAnsi="Times New Roman"/>
          <w:i/>
          <w:sz w:val="27"/>
          <w:szCs w:val="27"/>
        </w:rPr>
        <w:t>При этом как было установлено, указанное имущество было предоставлено на основании акта о бюджете, утвержденного Советом Депутатов.</w:t>
      </w:r>
    </w:p>
    <w:p>
      <w:pPr>
        <w:pStyle w:val="ListParagraph"/>
        <w:numPr>
          <w:ilvl w:val="0"/>
          <w:numId w:val="0"/>
        </w:numPr>
        <w:tabs>
          <w:tab w:val="left" w:pos="993" w:leader="none"/>
        </w:tabs>
        <w:spacing w:lineRule="auto" w:line="240"/>
        <w:ind w:left="0" w:firstLine="567"/>
        <w:jc w:val="both"/>
        <w:outlineLvl w:val="1"/>
        <w:rPr/>
      </w:pPr>
      <w:r>
        <w:rPr>
          <w:rFonts w:ascii="Times New Roman" w:hAnsi="Times New Roman"/>
          <w:i/>
          <w:sz w:val="27"/>
          <w:szCs w:val="27"/>
          <w:u w:val="single"/>
        </w:rPr>
        <w:t>Стоит отметить, что пункт 1 части 3 статьи 19 Закона о защите конкуренции позволяет органам власти предоставлять государственную или муниципальную преференцию без предварительного согласия антимонопольного органа на основании актов о бюджете.</w:t>
      </w:r>
      <w:r>
        <w:rPr>
          <w:rFonts w:ascii="Times New Roman" w:hAnsi="Times New Roman"/>
          <w:i/>
          <w:sz w:val="27"/>
          <w:szCs w:val="27"/>
          <w:u w:val="none"/>
        </w:rPr>
        <w:t xml:space="preserve">  </w:t>
      </w:r>
    </w:p>
    <w:p>
      <w:pPr>
        <w:pStyle w:val="ListParagraph"/>
        <w:numPr>
          <w:ilvl w:val="0"/>
          <w:numId w:val="0"/>
        </w:numPr>
        <w:tabs>
          <w:tab w:val="left" w:pos="993" w:leader="none"/>
        </w:tabs>
        <w:spacing w:lineRule="auto" w:line="240"/>
        <w:ind w:left="0" w:firstLine="567"/>
        <w:jc w:val="both"/>
        <w:outlineLvl w:val="1"/>
        <w:rPr/>
      </w:pPr>
      <w:r>
        <w:rPr>
          <w:rFonts w:ascii="Times New Roman" w:hAnsi="Times New Roman"/>
          <w:i/>
          <w:sz w:val="27"/>
          <w:szCs w:val="27"/>
          <w:u w:val="none"/>
        </w:rPr>
        <w:t xml:space="preserve">При этом согласно указанной норме закона акты о бюджете должны содержать либо устанавливать порядок определения размера государственной или муниципальной преференции и ее конкретного получателя, чего в данном случае не было сделано Советом Депутатов. </w:t>
      </w:r>
    </w:p>
    <w:p>
      <w:pPr>
        <w:pStyle w:val="ListParagraph"/>
        <w:numPr>
          <w:ilvl w:val="0"/>
          <w:numId w:val="0"/>
        </w:numPr>
        <w:tabs>
          <w:tab w:val="left" w:pos="993" w:leader="none"/>
        </w:tabs>
        <w:spacing w:lineRule="auto" w:line="240"/>
        <w:ind w:left="0" w:firstLine="567"/>
        <w:jc w:val="both"/>
        <w:outlineLvl w:val="1"/>
        <w:rPr/>
      </w:pPr>
      <w:r>
        <w:rPr>
          <w:rFonts w:ascii="Times New Roman" w:hAnsi="Times New Roman"/>
          <w:i/>
          <w:sz w:val="27"/>
          <w:szCs w:val="27"/>
          <w:u w:val="none"/>
        </w:rPr>
        <w:t>Кроме того</w:t>
      </w:r>
      <w:r>
        <w:rPr>
          <w:rFonts w:ascii="Times New Roman" w:hAnsi="Times New Roman"/>
          <w:i/>
          <w:sz w:val="27"/>
          <w:szCs w:val="27"/>
          <w:u w:val="none"/>
        </w:rPr>
        <w:t xml:space="preserve">, в силу требований бюджетного законодательства  акты о бюджете, в том числе акты о бюджете органов местного самоуправления </w:t>
      </w:r>
      <w:r>
        <w:rPr>
          <w:rFonts w:ascii="Times New Roman" w:hAnsi="Times New Roman"/>
          <w:b/>
          <w:bCs/>
          <w:i/>
          <w:sz w:val="27"/>
          <w:szCs w:val="27"/>
          <w:u w:val="single"/>
        </w:rPr>
        <w:t>могут предусматривать предоставление преференций лишь в виде субсидий</w:t>
      </w:r>
      <w:r>
        <w:rPr>
          <w:rFonts w:ascii="Times New Roman" w:hAnsi="Times New Roman"/>
          <w:i/>
          <w:sz w:val="27"/>
          <w:szCs w:val="27"/>
          <w:u w:val="none"/>
        </w:rPr>
        <w:t xml:space="preserve"> хозяйствующим субъектам, при этом такие акты </w:t>
      </w:r>
      <w:r>
        <w:rPr>
          <w:rFonts w:ascii="Times New Roman" w:hAnsi="Times New Roman"/>
          <w:b/>
          <w:bCs/>
          <w:i/>
          <w:sz w:val="27"/>
          <w:szCs w:val="27"/>
          <w:u w:val="single"/>
        </w:rPr>
        <w:t>не могут предусматривать</w:t>
      </w:r>
      <w:r>
        <w:rPr>
          <w:rFonts w:ascii="Times New Roman" w:hAnsi="Times New Roman"/>
          <w:i/>
          <w:sz w:val="27"/>
          <w:szCs w:val="27"/>
          <w:u w:val="none"/>
        </w:rPr>
        <w:t xml:space="preserve"> </w:t>
      </w:r>
      <w:r>
        <w:rPr>
          <w:rFonts w:ascii="Times New Roman" w:hAnsi="Times New Roman"/>
          <w:b/>
          <w:bCs/>
          <w:i/>
          <w:sz w:val="27"/>
          <w:szCs w:val="27"/>
          <w:u w:val="single"/>
        </w:rPr>
        <w:t xml:space="preserve">передачу государственного или муниципального имущества во владение хозяйствующим субъектам в виде преференций.  </w:t>
      </w:r>
    </w:p>
    <w:p>
      <w:pPr>
        <w:pStyle w:val="ListParagraph"/>
        <w:tabs>
          <w:tab w:val="left" w:pos="993" w:leader="none"/>
        </w:tabs>
        <w:spacing w:lineRule="auto" w:line="240"/>
        <w:ind w:left="0" w:firstLine="567"/>
        <w:jc w:val="both"/>
        <w:rPr>
          <w:rFonts w:ascii="Times New Roman" w:hAnsi="Times New Roman"/>
          <w:color w:val="FF0000"/>
          <w:sz w:val="27"/>
          <w:szCs w:val="27"/>
        </w:rPr>
      </w:pPr>
      <w:r>
        <w:rPr>
          <w:rFonts w:ascii="Times New Roman" w:hAnsi="Times New Roman"/>
          <w:color w:val="FF0000"/>
          <w:sz w:val="27"/>
          <w:szCs w:val="27"/>
        </w:rPr>
      </w:r>
    </w:p>
    <w:p>
      <w:pPr>
        <w:pStyle w:val="ListParagraph"/>
        <w:numPr>
          <w:ilvl w:val="0"/>
          <w:numId w:val="0"/>
        </w:numPr>
        <w:tabs>
          <w:tab w:val="left" w:pos="993" w:leader="none"/>
        </w:tabs>
        <w:spacing w:lineRule="auto" w:line="240"/>
        <w:ind w:left="1931" w:hanging="0"/>
        <w:jc w:val="both"/>
        <w:rPr>
          <w:rFonts w:ascii="Times New Roman" w:hAnsi="Times New Roman"/>
          <w:b/>
          <w:b/>
          <w:i/>
          <w:i/>
          <w:sz w:val="27"/>
          <w:szCs w:val="27"/>
        </w:rPr>
      </w:pPr>
      <w:r>
        <w:rPr>
          <w:rFonts w:ascii="Times New Roman" w:hAnsi="Times New Roman"/>
          <w:b/>
          <w:i/>
          <w:sz w:val="27"/>
          <w:szCs w:val="27"/>
        </w:rPr>
        <w:t xml:space="preserve">  </w:t>
      </w:r>
      <w:r>
        <w:rPr>
          <w:rFonts w:ascii="Times New Roman" w:hAnsi="Times New Roman"/>
          <w:b/>
          <w:i/>
          <w:sz w:val="27"/>
          <w:szCs w:val="27"/>
        </w:rPr>
        <w:t xml:space="preserve">2. </w:t>
      </w:r>
      <w:r>
        <w:rPr>
          <w:rFonts w:ascii="Times New Roman" w:hAnsi="Times New Roman"/>
          <w:b/>
          <w:i/>
          <w:sz w:val="27"/>
          <w:szCs w:val="27"/>
        </w:rPr>
        <w:t>Несоответствие целям, на которые преференции могут быть предоставлены.</w:t>
      </w:r>
    </w:p>
    <w:p>
      <w:pPr>
        <w:pStyle w:val="ListParagraph"/>
        <w:tabs>
          <w:tab w:val="left" w:pos="993" w:leader="none"/>
        </w:tabs>
        <w:spacing w:lineRule="auto" w:line="240" w:before="0" w:after="0"/>
        <w:ind w:left="0" w:firstLine="567"/>
        <w:contextualSpacing/>
        <w:jc w:val="both"/>
        <w:rPr>
          <w:rFonts w:ascii="Times New Roman" w:hAnsi="Times New Roman"/>
          <w:sz w:val="27"/>
          <w:szCs w:val="27"/>
        </w:rPr>
      </w:pPr>
      <w:r>
        <w:rPr>
          <w:rFonts w:ascii="Times New Roman" w:hAnsi="Times New Roman"/>
          <w:sz w:val="27"/>
          <w:szCs w:val="27"/>
        </w:rPr>
        <w:t>Государственные или муниципальные преференции предоставляются на основании правовых актов государственных органов исключительно для определенных целей. Цели, на которые могут предоставляться государственные или муниципальные преференции определены статьей 19 Закона о защите конкуренции. При рассмотрении заявлений о даче согласия на представление преференций антимонопольный орган, в том числе оценивает, соответствуют ли мероприятия, осуществляемые хозяйствующими субъектами (в отношении которых органами власти имеются намерения предоставить преференцию) в процессе хозяйственной деятельности целям предоставления преференции.</w:t>
      </w:r>
    </w:p>
    <w:p>
      <w:pPr>
        <w:pStyle w:val="Normal"/>
        <w:tabs>
          <w:tab w:val="left" w:pos="993" w:leader="none"/>
        </w:tabs>
        <w:ind w:firstLine="567"/>
        <w:jc w:val="both"/>
        <w:rPr/>
      </w:pPr>
      <w:r>
        <w:rPr>
          <w:i/>
          <w:sz w:val="27"/>
          <w:szCs w:val="27"/>
          <w:u w:val="single"/>
        </w:rPr>
        <w:t>Например</w:t>
      </w:r>
      <w:r>
        <w:rPr>
          <w:i/>
          <w:sz w:val="27"/>
          <w:szCs w:val="27"/>
        </w:rPr>
        <w:t xml:space="preserve">: В </w:t>
      </w:r>
      <w:r>
        <w:rPr>
          <w:i/>
          <w:sz w:val="27"/>
          <w:szCs w:val="27"/>
        </w:rPr>
        <w:t>Ханты-Мансийское</w:t>
      </w:r>
      <w:r>
        <w:rPr>
          <w:i/>
          <w:sz w:val="27"/>
          <w:szCs w:val="27"/>
        </w:rPr>
        <w:t xml:space="preserve"> УФАС </w:t>
      </w:r>
      <w:r>
        <w:rPr>
          <w:i/>
          <w:sz w:val="27"/>
          <w:szCs w:val="27"/>
        </w:rPr>
        <w:t>России</w:t>
      </w:r>
      <w:r>
        <w:rPr>
          <w:i/>
          <w:sz w:val="27"/>
          <w:szCs w:val="27"/>
        </w:rPr>
        <w:t xml:space="preserve"> поступ</w:t>
      </w:r>
      <w:r>
        <w:rPr>
          <w:i/>
          <w:sz w:val="27"/>
          <w:szCs w:val="27"/>
        </w:rPr>
        <w:t>ило</w:t>
      </w:r>
      <w:r>
        <w:rPr>
          <w:i/>
          <w:sz w:val="27"/>
          <w:szCs w:val="27"/>
        </w:rPr>
        <w:t xml:space="preserve"> заявлени</w:t>
      </w:r>
      <w:r>
        <w:rPr>
          <w:i/>
          <w:sz w:val="27"/>
          <w:szCs w:val="27"/>
        </w:rPr>
        <w:t xml:space="preserve">е </w:t>
      </w:r>
      <w:r>
        <w:rPr>
          <w:i/>
          <w:sz w:val="27"/>
          <w:szCs w:val="27"/>
        </w:rPr>
        <w:t>Администрации</w:t>
      </w:r>
      <w:r>
        <w:rPr>
          <w:i/>
          <w:sz w:val="27"/>
          <w:szCs w:val="27"/>
        </w:rPr>
        <w:t xml:space="preserve"> о даче согласия на предоставление </w:t>
      </w:r>
      <w:r>
        <w:rPr>
          <w:i/>
          <w:sz w:val="27"/>
          <w:szCs w:val="27"/>
        </w:rPr>
        <w:t xml:space="preserve">муниципальной </w:t>
      </w:r>
      <w:r>
        <w:rPr>
          <w:i/>
          <w:sz w:val="27"/>
          <w:szCs w:val="27"/>
        </w:rPr>
        <w:t xml:space="preserve">преференции </w:t>
      </w:r>
      <w:r>
        <w:rPr>
          <w:i/>
          <w:sz w:val="27"/>
          <w:szCs w:val="27"/>
        </w:rPr>
        <w:t xml:space="preserve">хозяйствующему субъекту </w:t>
      </w:r>
      <w:r>
        <w:rPr>
          <w:i/>
          <w:sz w:val="27"/>
          <w:szCs w:val="27"/>
        </w:rPr>
        <w:t xml:space="preserve">в целях </w:t>
      </w:r>
      <w:r>
        <w:rPr>
          <w:i/>
          <w:sz w:val="27"/>
          <w:szCs w:val="27"/>
        </w:rPr>
        <w:t xml:space="preserve">развития образования и науки (п.2 ч.1 ст.19 Закона о защите конкуренции), </w:t>
      </w:r>
      <w:r>
        <w:rPr>
          <w:i/>
          <w:sz w:val="27"/>
          <w:szCs w:val="27"/>
        </w:rPr>
        <w:t>путем предоставления в аренду нежилого помещения</w:t>
      </w:r>
      <w:r>
        <w:rPr>
          <w:i/>
          <w:sz w:val="27"/>
          <w:szCs w:val="27"/>
        </w:rPr>
        <w:t xml:space="preserve">.  </w:t>
      </w:r>
      <w:r>
        <w:rPr>
          <w:i/>
          <w:sz w:val="27"/>
          <w:szCs w:val="27"/>
        </w:rPr>
        <w:t xml:space="preserve"> </w:t>
      </w:r>
    </w:p>
    <w:p>
      <w:pPr>
        <w:pStyle w:val="Normal"/>
        <w:tabs>
          <w:tab w:val="left" w:pos="567" w:leader="none"/>
          <w:tab w:val="left" w:pos="709" w:leader="none"/>
          <w:tab w:val="left" w:pos="851" w:leader="none"/>
        </w:tabs>
        <w:ind w:right="-2" w:firstLine="567"/>
        <w:jc w:val="both"/>
        <w:rPr>
          <w:i/>
          <w:i/>
          <w:iCs/>
        </w:rPr>
      </w:pPr>
      <w:r>
        <w:rPr>
          <w:i/>
          <w:iCs/>
          <w:sz w:val="27"/>
          <w:szCs w:val="27"/>
        </w:rPr>
        <w:t xml:space="preserve">В соответствии с </w:t>
      </w:r>
      <w:r>
        <w:rPr>
          <w:i/>
          <w:iCs/>
          <w:sz w:val="27"/>
          <w:szCs w:val="27"/>
        </w:rPr>
        <w:t>Федеральным законом от 29.12.2012 №273-ФЗ «Об образовании в Российской Федерации» (далее – Закон об образовании):</w:t>
      </w:r>
    </w:p>
    <w:p>
      <w:pPr>
        <w:pStyle w:val="ConsPlusNormal"/>
        <w:ind w:right="-2" w:firstLine="567"/>
        <w:jc w:val="both"/>
        <w:rPr>
          <w:rFonts w:ascii="Times New Roman" w:hAnsi="Times New Roman"/>
          <w:i/>
          <w:i/>
          <w:iCs/>
        </w:rPr>
      </w:pPr>
      <w:r>
        <w:rPr>
          <w:rFonts w:ascii="Times New Roman" w:hAnsi="Times New Roman"/>
          <w:b/>
          <w:i/>
          <w:iCs/>
          <w:sz w:val="27"/>
          <w:szCs w:val="27"/>
        </w:rPr>
        <w:t>-</w:t>
      </w:r>
      <w:r>
        <w:rPr>
          <w:rFonts w:ascii="Times New Roman" w:hAnsi="Times New Roman"/>
          <w:i/>
          <w:iCs/>
          <w:sz w:val="27"/>
          <w:szCs w:val="27"/>
        </w:rPr>
        <w:t xml:space="preserve">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pStyle w:val="ConsPlusNormal"/>
        <w:ind w:right="-2" w:firstLine="567"/>
        <w:jc w:val="both"/>
        <w:rPr>
          <w:rFonts w:ascii="Times New Roman" w:hAnsi="Times New Roman"/>
          <w:i/>
          <w:i/>
          <w:iCs/>
        </w:rPr>
      </w:pPr>
      <w:r>
        <w:rPr>
          <w:rFonts w:ascii="Times New Roman" w:hAnsi="Times New Roman"/>
          <w:i/>
          <w:iCs/>
          <w:sz w:val="27"/>
          <w:szCs w:val="27"/>
        </w:rPr>
        <w:t xml:space="preserve">- образовательная организация - некоммерческая организация, </w:t>
      </w:r>
      <w:r>
        <w:rPr>
          <w:rFonts w:ascii="Times New Roman" w:hAnsi="Times New Roman"/>
          <w:b/>
          <w:i/>
          <w:iCs/>
          <w:sz w:val="27"/>
          <w:szCs w:val="27"/>
        </w:rPr>
        <w:t>осуществляющая на основании лицензии образовательную деятельность</w:t>
      </w:r>
      <w:r>
        <w:rPr>
          <w:rFonts w:ascii="Times New Roman" w:hAnsi="Times New Roman"/>
          <w:i/>
          <w:iCs/>
          <w:sz w:val="27"/>
          <w:szCs w:val="27"/>
        </w:rPr>
        <w:t xml:space="preserve"> в качестве основного вида деятельности в соответствии с целями, ради достижения которых такая организация создана;</w:t>
      </w:r>
    </w:p>
    <w:p>
      <w:pPr>
        <w:pStyle w:val="ConsPlusNormal"/>
        <w:ind w:right="-2" w:firstLine="567"/>
        <w:jc w:val="both"/>
        <w:rPr>
          <w:rFonts w:ascii="Times New Roman" w:hAnsi="Times New Roman"/>
          <w:i/>
          <w:i/>
          <w:iCs/>
        </w:rPr>
      </w:pPr>
      <w:r>
        <w:rPr>
          <w:rFonts w:ascii="Times New Roman" w:hAnsi="Times New Roman"/>
          <w:i/>
          <w:iCs/>
          <w:sz w:val="27"/>
          <w:szCs w:val="27"/>
        </w:rPr>
        <w:t>-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pStyle w:val="ConsPlusNormal"/>
        <w:ind w:right="-2" w:firstLine="567"/>
        <w:jc w:val="both"/>
        <w:rPr>
          <w:rFonts w:ascii="Times New Roman" w:hAnsi="Times New Roman"/>
          <w:b w:val="false"/>
          <w:b w:val="false"/>
          <w:bCs w:val="false"/>
          <w:i/>
          <w:i/>
          <w:iCs/>
        </w:rPr>
      </w:pPr>
      <w:r>
        <w:rPr>
          <w:rFonts w:ascii="Times New Roman" w:hAnsi="Times New Roman"/>
          <w:b w:val="false"/>
          <w:bCs w:val="false"/>
          <w:i/>
          <w:iCs/>
          <w:sz w:val="27"/>
          <w:szCs w:val="27"/>
        </w:rPr>
        <w:t xml:space="preserve">- организации, осуществляющие образовательную деятельность, - образовательные организации, а также организации, осуществляющие обучение. </w:t>
      </w:r>
    </w:p>
    <w:p>
      <w:pPr>
        <w:pStyle w:val="ConsPlusNormal"/>
        <w:ind w:right="-2" w:firstLine="567"/>
        <w:jc w:val="both"/>
        <w:rPr>
          <w:rFonts w:ascii="Times New Roman" w:hAnsi="Times New Roman"/>
          <w:b w:val="false"/>
          <w:b w:val="false"/>
          <w:bCs w:val="false"/>
          <w:i/>
          <w:i/>
          <w:iCs/>
          <w:sz w:val="27"/>
          <w:szCs w:val="27"/>
        </w:rPr>
      </w:pPr>
      <w:r>
        <w:rPr>
          <w:rFonts w:ascii="Times New Roman" w:hAnsi="Times New Roman"/>
          <w:b w:val="false"/>
          <w:bCs w:val="false"/>
          <w:i/>
          <w:iCs/>
          <w:sz w:val="27"/>
          <w:szCs w:val="27"/>
        </w:rPr>
        <w:t>В соответствии с частью 1 статьи 21 Закона об образовании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pPr>
        <w:pStyle w:val="ConsPlusNormal"/>
        <w:tabs>
          <w:tab w:val="left" w:pos="993" w:leader="none"/>
        </w:tabs>
        <w:ind w:right="-2" w:firstLine="567"/>
        <w:jc w:val="both"/>
        <w:rPr>
          <w:rFonts w:ascii="Times New Roman" w:hAnsi="Times New Roman"/>
          <w:b w:val="false"/>
          <w:b w:val="false"/>
          <w:bCs w:val="false"/>
          <w:i/>
          <w:i/>
          <w:iCs/>
        </w:rPr>
      </w:pPr>
      <w:r>
        <w:rPr>
          <w:rFonts w:ascii="Times New Roman" w:hAnsi="Times New Roman"/>
          <w:b w:val="false"/>
          <w:bCs w:val="false"/>
          <w:i/>
          <w:iCs/>
          <w:sz w:val="27"/>
          <w:szCs w:val="27"/>
        </w:rPr>
        <w:t>Статьей 31 Закона об образовании определены организации, осуществляющие обучение, осуществляющие свою деятельность на основании образовательных программ.</w:t>
      </w:r>
    </w:p>
    <w:p>
      <w:pPr>
        <w:pStyle w:val="Normal"/>
        <w:tabs>
          <w:tab w:val="left" w:pos="993" w:leader="none"/>
        </w:tabs>
        <w:ind w:hanging="0"/>
        <w:jc w:val="both"/>
        <w:rPr/>
      </w:pPr>
      <w:r>
        <w:rPr>
          <w:i/>
          <w:sz w:val="27"/>
          <w:szCs w:val="27"/>
        </w:rPr>
        <w:t xml:space="preserve">      </w:t>
      </w:r>
      <w:r>
        <w:rPr>
          <w:i/>
          <w:sz w:val="27"/>
          <w:szCs w:val="27"/>
        </w:rPr>
        <w:t xml:space="preserve">Следовательно, при обращении с заявлением о предоставлении преференции заявитель должен представить документы, подтверждающие факт осуществления им деятельности в качестве </w:t>
      </w:r>
      <w:r>
        <w:rPr>
          <w:i/>
          <w:sz w:val="27"/>
          <w:szCs w:val="27"/>
        </w:rPr>
        <w:t xml:space="preserve">образовательной организации, требования к которой и критерии установлены </w:t>
      </w:r>
      <w:r>
        <w:rPr>
          <w:rFonts w:ascii="Times New Roman" w:hAnsi="Times New Roman"/>
          <w:b w:val="false"/>
          <w:bCs w:val="false"/>
          <w:i/>
          <w:iCs/>
          <w:sz w:val="27"/>
          <w:szCs w:val="27"/>
        </w:rPr>
        <w:t>Законом об образовании</w:t>
      </w:r>
      <w:r>
        <w:rPr>
          <w:i/>
          <w:sz w:val="27"/>
          <w:szCs w:val="27"/>
        </w:rPr>
        <w:t xml:space="preserve">. </w:t>
      </w:r>
    </w:p>
    <w:p>
      <w:pPr>
        <w:pStyle w:val="Normal"/>
        <w:tabs>
          <w:tab w:val="left" w:pos="993" w:leader="none"/>
        </w:tabs>
        <w:ind w:firstLine="567"/>
        <w:jc w:val="both"/>
        <w:rPr/>
      </w:pPr>
      <w:r>
        <w:rPr>
          <w:i/>
          <w:sz w:val="27"/>
          <w:szCs w:val="27"/>
        </w:rPr>
        <w:t xml:space="preserve">Вместе с тем, при рассмотрении заявления о даче согласия на предоставление преференции </w:t>
      </w:r>
      <w:r>
        <w:rPr>
          <w:i/>
          <w:sz w:val="27"/>
          <w:szCs w:val="27"/>
        </w:rPr>
        <w:t>Ханты-Мансийским УФАС России было</w:t>
      </w:r>
      <w:r>
        <w:rPr>
          <w:i/>
          <w:sz w:val="27"/>
          <w:szCs w:val="27"/>
        </w:rPr>
        <w:t xml:space="preserve"> </w:t>
      </w:r>
      <w:r>
        <w:rPr>
          <w:i/>
          <w:sz w:val="27"/>
          <w:szCs w:val="27"/>
        </w:rPr>
        <w:t xml:space="preserve">установлено, </w:t>
      </w:r>
      <w:r>
        <w:rPr>
          <w:i/>
          <w:sz w:val="27"/>
          <w:szCs w:val="27"/>
        </w:rPr>
        <w:t xml:space="preserve">что осуществление уставной деятельности </w:t>
      </w:r>
      <w:r>
        <w:rPr>
          <w:i/>
          <w:sz w:val="27"/>
          <w:szCs w:val="27"/>
        </w:rPr>
        <w:t>хозяйствующего субъекта</w:t>
      </w:r>
      <w:r>
        <w:rPr>
          <w:i/>
          <w:sz w:val="27"/>
          <w:szCs w:val="27"/>
        </w:rPr>
        <w:t>, а также предоставление заявленного недвижимого имущества, не связано с развитием образования и науки, что не соответствует целям, предусмотренным пунктом 2 части 1 статьи 19 Закона о защите конкуренции и является основанием для отказа в предоставлении преференции.</w:t>
      </w:r>
      <w:r>
        <w:rPr>
          <w:i/>
          <w:sz w:val="27"/>
          <w:szCs w:val="27"/>
        </w:rPr>
        <w:t xml:space="preserve"> </w:t>
      </w:r>
    </w:p>
    <w:p>
      <w:pPr>
        <w:pStyle w:val="ListParagraph"/>
        <w:tabs>
          <w:tab w:val="left" w:pos="993" w:leader="none"/>
        </w:tabs>
        <w:spacing w:lineRule="auto" w:line="240"/>
        <w:ind w:left="0" w:firstLine="567"/>
        <w:jc w:val="both"/>
        <w:rPr>
          <w:rFonts w:ascii="Times New Roman" w:hAnsi="Times New Roman"/>
          <w:sz w:val="27"/>
          <w:szCs w:val="27"/>
        </w:rPr>
      </w:pPr>
      <w:r>
        <w:rPr>
          <w:rFonts w:ascii="Times New Roman" w:hAnsi="Times New Roman"/>
          <w:sz w:val="27"/>
          <w:szCs w:val="27"/>
        </w:rPr>
      </w:r>
    </w:p>
    <w:p>
      <w:pPr>
        <w:pStyle w:val="ListParagraph"/>
        <w:tabs>
          <w:tab w:val="left" w:pos="993" w:leader="none"/>
        </w:tabs>
        <w:spacing w:lineRule="auto" w:line="240"/>
        <w:ind w:left="0" w:firstLine="567"/>
        <w:jc w:val="both"/>
        <w:rPr/>
      </w:pPr>
      <w:r>
        <w:rPr>
          <w:rFonts w:ascii="Times New Roman" w:hAnsi="Times New Roman"/>
          <w:sz w:val="27"/>
          <w:szCs w:val="27"/>
        </w:rPr>
        <w:t xml:space="preserve">  </w:t>
      </w:r>
      <w:r>
        <w:rPr>
          <w:rFonts w:ascii="Times New Roman" w:hAnsi="Times New Roman"/>
          <w:sz w:val="27"/>
          <w:szCs w:val="27"/>
        </w:rPr>
        <w:t>Использование предоставленной преференции на несоответствующе</w:t>
      </w:r>
      <w:r>
        <w:rPr>
          <w:rFonts w:ascii="Times New Roman" w:hAnsi="Times New Roman"/>
          <w:sz w:val="27"/>
          <w:szCs w:val="27"/>
        </w:rPr>
        <w:t>й</w:t>
      </w:r>
      <w:r>
        <w:rPr>
          <w:rFonts w:ascii="Times New Roman" w:hAnsi="Times New Roman"/>
          <w:sz w:val="27"/>
          <w:szCs w:val="27"/>
        </w:rPr>
        <w:t xml:space="preserve"> цели нарушает антимонопольное законодательство, может препятствовать естественному развитию конкуренции на товарном рынке, а также может ущемлять интересы и нарушать права граждан, т.к. цели, на которые предоставляются преференции, имеют социальную, экономическую и культурную направленность и необходимы для обеспечения и защиты конституционных прав человека, поэтому использование предоставленной преференции на несоответствующие цели недопустимо.</w:t>
      </w:r>
    </w:p>
    <w:p>
      <w:pPr>
        <w:pStyle w:val="ListParagraph"/>
        <w:tabs>
          <w:tab w:val="left" w:pos="993" w:leader="none"/>
        </w:tabs>
        <w:spacing w:lineRule="auto" w:line="240"/>
        <w:ind w:left="0" w:firstLine="567"/>
        <w:jc w:val="both"/>
        <w:rPr>
          <w:rFonts w:ascii="Times New Roman" w:hAnsi="Times New Roman"/>
          <w:sz w:val="27"/>
          <w:szCs w:val="27"/>
        </w:rPr>
      </w:pPr>
      <w:r>
        <w:rPr>
          <w:rFonts w:ascii="Times New Roman" w:hAnsi="Times New Roman"/>
          <w:sz w:val="27"/>
          <w:szCs w:val="27"/>
        </w:rPr>
      </w:r>
    </w:p>
    <w:p>
      <w:pPr>
        <w:pStyle w:val="ListParagraph"/>
        <w:numPr>
          <w:ilvl w:val="0"/>
          <w:numId w:val="0"/>
        </w:numPr>
        <w:tabs>
          <w:tab w:val="left" w:pos="993" w:leader="none"/>
        </w:tabs>
        <w:spacing w:lineRule="auto" w:line="240"/>
        <w:ind w:left="1931" w:hanging="0"/>
        <w:jc w:val="both"/>
        <w:rPr>
          <w:rFonts w:ascii="Times New Roman" w:hAnsi="Times New Roman"/>
          <w:b/>
          <w:b/>
          <w:i/>
          <w:i/>
          <w:sz w:val="27"/>
          <w:szCs w:val="27"/>
        </w:rPr>
      </w:pPr>
      <w:r>
        <w:rPr>
          <w:rFonts w:ascii="Times New Roman" w:hAnsi="Times New Roman"/>
          <w:b/>
          <w:i/>
          <w:sz w:val="27"/>
          <w:szCs w:val="27"/>
        </w:rPr>
        <w:t xml:space="preserve">   </w:t>
      </w:r>
      <w:r>
        <w:rPr>
          <w:rFonts w:ascii="Times New Roman" w:hAnsi="Times New Roman"/>
          <w:b/>
          <w:i/>
          <w:sz w:val="27"/>
          <w:szCs w:val="27"/>
        </w:rPr>
        <w:t xml:space="preserve">3. </w:t>
      </w:r>
      <w:r>
        <w:rPr>
          <w:rFonts w:ascii="Times New Roman" w:hAnsi="Times New Roman"/>
          <w:b/>
          <w:i/>
          <w:sz w:val="27"/>
          <w:szCs w:val="27"/>
        </w:rPr>
        <w:t>Отсутствие контроля за исполнением договоров, заключенных на основании предоставления преференции это, прежде всего несоблюдение ограничений, а также  не изъятие имущества по окончании срока договора.</w:t>
      </w:r>
    </w:p>
    <w:p>
      <w:pPr>
        <w:pStyle w:val="ListParagraph"/>
        <w:tabs>
          <w:tab w:val="left" w:pos="993" w:leader="none"/>
        </w:tabs>
        <w:spacing w:lineRule="auto" w:line="240"/>
        <w:ind w:left="0" w:firstLine="567"/>
        <w:jc w:val="both"/>
        <w:rPr>
          <w:i/>
          <w:i/>
          <w:iCs/>
        </w:rPr>
      </w:pPr>
      <w:r>
        <w:rPr>
          <w:rFonts w:ascii="Times New Roman" w:hAnsi="Times New Roman"/>
          <w:i/>
          <w:iCs/>
          <w:sz w:val="27"/>
          <w:szCs w:val="27"/>
          <w:u w:val="single"/>
        </w:rPr>
        <w:t>Например:</w:t>
      </w:r>
      <w:r>
        <w:rPr>
          <w:rFonts w:ascii="Times New Roman" w:hAnsi="Times New Roman"/>
          <w:i/>
          <w:iCs/>
          <w:sz w:val="27"/>
          <w:szCs w:val="27"/>
        </w:rPr>
        <w:t xml:space="preserve"> </w:t>
      </w:r>
      <w:r>
        <w:rPr>
          <w:rFonts w:ascii="Times New Roman" w:hAnsi="Times New Roman"/>
          <w:i/>
          <w:iCs/>
          <w:sz w:val="27"/>
          <w:szCs w:val="27"/>
        </w:rPr>
        <w:t xml:space="preserve">Ханты-Мансийским УФАС России, на основании заявления Администрации принято решение о даче согласия на предоставление хозяйствующему субъекту преференции с введением ограничения, путем предоставления </w:t>
      </w:r>
      <w:r>
        <w:rPr>
          <w:rFonts w:ascii="Times New Roman" w:hAnsi="Times New Roman"/>
          <w:i/>
          <w:iCs/>
          <w:sz w:val="27"/>
          <w:szCs w:val="27"/>
        </w:rPr>
        <w:t>недвижимого имущества в аренду.</w:t>
      </w:r>
    </w:p>
    <w:p>
      <w:pPr>
        <w:pStyle w:val="ListParagraph"/>
        <w:tabs>
          <w:tab w:val="left" w:pos="993" w:leader="none"/>
        </w:tabs>
        <w:spacing w:lineRule="auto" w:line="240"/>
        <w:ind w:left="0" w:firstLine="567"/>
        <w:jc w:val="both"/>
        <w:rPr>
          <w:i/>
          <w:i/>
          <w:iCs/>
        </w:rPr>
      </w:pPr>
      <w:r>
        <w:rPr>
          <w:rFonts w:ascii="Times New Roman" w:hAnsi="Times New Roman"/>
          <w:i/>
          <w:iCs/>
          <w:sz w:val="27"/>
          <w:szCs w:val="27"/>
        </w:rPr>
        <w:t xml:space="preserve">В </w:t>
      </w:r>
      <w:r>
        <w:rPr>
          <w:rFonts w:ascii="Times New Roman" w:hAnsi="Times New Roman"/>
          <w:i/>
          <w:iCs/>
          <w:sz w:val="27"/>
          <w:szCs w:val="27"/>
        </w:rPr>
        <w:t xml:space="preserve">качестве одного из ограничений антимонопольным органом установлен предельный срок использования имуществом (1 год с даты предоставления преференции). </w:t>
      </w:r>
    </w:p>
    <w:p>
      <w:pPr>
        <w:pStyle w:val="ListParagraph"/>
        <w:tabs>
          <w:tab w:val="left" w:pos="993" w:leader="none"/>
        </w:tabs>
        <w:spacing w:lineRule="auto" w:line="240"/>
        <w:ind w:left="0" w:firstLine="567"/>
        <w:jc w:val="both"/>
        <w:rPr>
          <w:i/>
          <w:i/>
          <w:iCs/>
        </w:rPr>
      </w:pPr>
      <w:r>
        <w:rPr>
          <w:rFonts w:ascii="Times New Roman" w:hAnsi="Times New Roman"/>
          <w:i/>
          <w:iCs/>
          <w:sz w:val="27"/>
          <w:szCs w:val="27"/>
        </w:rPr>
        <w:t xml:space="preserve">По окончании срока действия пользования имуществом, хозяйствующий субъект передал имущество по акту возврата Администрации. </w:t>
      </w:r>
    </w:p>
    <w:p>
      <w:pPr>
        <w:pStyle w:val="ListParagraph"/>
        <w:tabs>
          <w:tab w:val="left" w:pos="993" w:leader="none"/>
        </w:tabs>
        <w:spacing w:lineRule="auto" w:line="240"/>
        <w:ind w:left="0" w:firstLine="567"/>
        <w:jc w:val="both"/>
        <w:rPr>
          <w:i/>
          <w:i/>
          <w:iCs/>
        </w:rPr>
      </w:pPr>
      <w:r>
        <w:rPr>
          <w:rFonts w:ascii="Times New Roman" w:hAnsi="Times New Roman"/>
          <w:i/>
          <w:iCs/>
          <w:sz w:val="27"/>
          <w:szCs w:val="27"/>
        </w:rPr>
        <w:t xml:space="preserve">Однако, позже в адрес Ханты-Мансийского УФАС России поступили заявление и материалы из Межрайонной прокуратуры указывающие, что фактически имущество не выбывало из пользования хозяйствующего субъекта и используется им не смотря на отсутствие договора аренды. Кроме того, на основании поступивших документов по требованию антимонопольного органа, Администрация и хозяйствующий субъект подтвердили факт использования имущества после </w:t>
      </w:r>
      <w:r>
        <w:rPr>
          <w:rFonts w:ascii="Times New Roman" w:hAnsi="Times New Roman"/>
          <w:i/>
          <w:iCs/>
          <w:sz w:val="27"/>
          <w:szCs w:val="27"/>
        </w:rPr>
        <w:t xml:space="preserve">прекращения договора аренды.  </w:t>
      </w:r>
    </w:p>
    <w:p>
      <w:pPr>
        <w:pStyle w:val="ListParagraph"/>
        <w:tabs>
          <w:tab w:val="left" w:pos="993" w:leader="none"/>
        </w:tabs>
        <w:spacing w:lineRule="auto" w:line="240"/>
        <w:ind w:left="0" w:firstLine="567"/>
        <w:jc w:val="both"/>
        <w:rPr>
          <w:i/>
          <w:i/>
          <w:iCs/>
        </w:rPr>
      </w:pPr>
      <w:r>
        <w:rPr>
          <w:rFonts w:ascii="Times New Roman" w:hAnsi="Times New Roman"/>
          <w:i/>
          <w:iCs/>
          <w:sz w:val="27"/>
          <w:szCs w:val="27"/>
        </w:rPr>
        <w:t xml:space="preserve">Ханты-Мансийским УФАС России в адрес Администрации выдано предупреждение о возврате имущества, незаконно используемого хозяйствующим субъектом.  </w:t>
      </w:r>
    </w:p>
    <w:p>
      <w:pPr>
        <w:pStyle w:val="ListParagraph"/>
        <w:tabs>
          <w:tab w:val="left" w:pos="993" w:leader="none"/>
        </w:tabs>
        <w:spacing w:lineRule="auto" w:line="240"/>
        <w:ind w:left="0" w:firstLine="567"/>
        <w:jc w:val="both"/>
        <w:rPr/>
      </w:pPr>
      <w:r>
        <w:rPr>
          <w:rFonts w:ascii="Times New Roman" w:hAnsi="Times New Roman"/>
          <w:i/>
          <w:iCs/>
          <w:sz w:val="27"/>
          <w:szCs w:val="27"/>
        </w:rPr>
        <w:t xml:space="preserve">Кроме того, Ханты-Мансийским УФАС России было установлено, что используя имущество в целях извлечения прибыли, хозяйствующий субъект не платил и не платит каких-либо арендных платежей, тем самым причиняя ущерб муниципальному образованию. Данная информация также доведена до правоохранительных органов.  </w:t>
      </w:r>
    </w:p>
    <w:p>
      <w:pPr>
        <w:pStyle w:val="ListParagraph"/>
        <w:tabs>
          <w:tab w:val="left" w:pos="993" w:leader="none"/>
        </w:tabs>
        <w:spacing w:lineRule="auto" w:line="240"/>
        <w:ind w:left="0" w:firstLine="567"/>
        <w:jc w:val="both"/>
        <w:rPr>
          <w:rFonts w:ascii="Times New Roman" w:hAnsi="Times New Roman"/>
          <w:color w:val="00B0F0"/>
          <w:sz w:val="27"/>
          <w:szCs w:val="27"/>
        </w:rPr>
      </w:pPr>
      <w:r>
        <w:rPr>
          <w:rFonts w:ascii="Times New Roman" w:hAnsi="Times New Roman"/>
          <w:sz w:val="27"/>
          <w:szCs w:val="27"/>
        </w:rPr>
        <w:t xml:space="preserve">Ярким примером отсутствием контроля со стороны органов власти является бездействие органа власти по истечению срока договора аренды с хозяйствующим субъектом, тогда как необходимо изъятие у хозяйствующего субъекта имущества из владения и пользования, либо заключение нового договора с учетом антимонопольного законодательства. </w:t>
      </w:r>
    </w:p>
    <w:p>
      <w:pPr>
        <w:pStyle w:val="Normal"/>
        <w:tabs>
          <w:tab w:val="left" w:pos="993" w:leader="none"/>
        </w:tabs>
        <w:ind w:firstLine="567"/>
        <w:jc w:val="both"/>
        <w:rPr>
          <w:sz w:val="27"/>
          <w:szCs w:val="27"/>
        </w:rPr>
      </w:pPr>
      <w:r>
        <w:rPr>
          <w:sz w:val="27"/>
          <w:szCs w:val="27"/>
        </w:rPr>
        <w:t xml:space="preserve"> </w:t>
      </w:r>
      <w:r>
        <w:rPr>
          <w:sz w:val="27"/>
          <w:szCs w:val="27"/>
        </w:rPr>
        <w:t>Хочется отметить, что неоднократная необоснованная передача органом власти имущественных прав на то же  имущество одному и тому  же хозяйствующему субъекту в виде предоставления преференции путем заключения договора аренды может свидетельствовать о наличии в действиях органа власти и хозяйствующего субъекта признаков нарушения статьи 16 Закона о защите конкуренции, которой установлен запрет на заключение между органами власти  и хозяйствующими субъектами антиконкурентных соглашений, и является основанием для проведения антимонопольного расследования.</w:t>
      </w:r>
    </w:p>
    <w:p>
      <w:pPr>
        <w:pStyle w:val="ListParagraph"/>
        <w:tabs>
          <w:tab w:val="left" w:pos="993" w:leader="none"/>
        </w:tabs>
        <w:spacing w:lineRule="auto" w:line="240"/>
        <w:ind w:left="0" w:firstLine="567"/>
        <w:jc w:val="both"/>
        <w:rPr>
          <w:rFonts w:ascii="Times New Roman" w:hAnsi="Times New Roman"/>
          <w:b/>
          <w:b/>
          <w:i/>
          <w:i/>
          <w:sz w:val="27"/>
          <w:szCs w:val="27"/>
        </w:rPr>
      </w:pPr>
      <w:r>
        <w:rPr/>
      </w:r>
    </w:p>
    <w:p>
      <w:pPr>
        <w:pStyle w:val="ListParagraph"/>
        <w:tabs>
          <w:tab w:val="left" w:pos="993" w:leader="none"/>
        </w:tabs>
        <w:spacing w:lineRule="auto" w:line="240"/>
        <w:ind w:left="0" w:firstLine="567"/>
        <w:jc w:val="both"/>
        <w:rPr>
          <w:rFonts w:ascii="Times New Roman" w:hAnsi="Times New Roman"/>
          <w:sz w:val="27"/>
          <w:szCs w:val="27"/>
        </w:rPr>
      </w:pPr>
      <w:r>
        <w:rPr>
          <w:rFonts w:ascii="Times New Roman" w:hAnsi="Times New Roman"/>
          <w:sz w:val="27"/>
          <w:szCs w:val="27"/>
        </w:rPr>
      </w:r>
    </w:p>
    <w:p>
      <w:pPr>
        <w:pStyle w:val="ListParagraph"/>
        <w:numPr>
          <w:ilvl w:val="0"/>
          <w:numId w:val="0"/>
        </w:numPr>
        <w:tabs>
          <w:tab w:val="left" w:pos="993" w:leader="none"/>
        </w:tabs>
        <w:spacing w:lineRule="auto" w:line="240"/>
        <w:ind w:left="1211" w:hanging="0"/>
        <w:jc w:val="both"/>
        <w:outlineLvl w:val="0"/>
        <w:rPr/>
      </w:pPr>
      <w:r>
        <w:rPr>
          <w:rFonts w:ascii="Times New Roman" w:hAnsi="Times New Roman"/>
          <w:b/>
          <w:sz w:val="27"/>
          <w:szCs w:val="27"/>
          <w:lang w:val="en-US"/>
        </w:rPr>
        <w:t xml:space="preserve">      </w:t>
      </w:r>
      <w:r>
        <w:rPr>
          <w:rFonts w:ascii="Times New Roman" w:hAnsi="Times New Roman"/>
          <w:b/>
          <w:sz w:val="27"/>
          <w:szCs w:val="27"/>
          <w:lang w:val="en-US"/>
        </w:rPr>
        <w:t xml:space="preserve">4. </w:t>
      </w:r>
      <w:r>
        <w:rPr>
          <w:rFonts w:ascii="Times New Roman" w:hAnsi="Times New Roman"/>
          <w:b/>
          <w:sz w:val="27"/>
          <w:szCs w:val="27"/>
        </w:rPr>
        <w:t>Предоставление преференций в целях поддержки субъектов малого и среднего предпринимательства</w:t>
      </w:r>
    </w:p>
    <w:p>
      <w:pPr>
        <w:pStyle w:val="ListParagraph"/>
        <w:tabs>
          <w:tab w:val="left" w:pos="993" w:leader="none"/>
        </w:tabs>
        <w:spacing w:lineRule="auto" w:line="240"/>
        <w:ind w:left="0" w:firstLine="567"/>
        <w:jc w:val="both"/>
        <w:rPr>
          <w:rFonts w:ascii="Times New Roman" w:hAnsi="Times New Roman"/>
          <w:sz w:val="27"/>
          <w:szCs w:val="27"/>
        </w:rPr>
      </w:pPr>
      <w:r>
        <w:rPr>
          <w:rFonts w:ascii="Times New Roman" w:hAnsi="Times New Roman"/>
          <w:sz w:val="27"/>
          <w:szCs w:val="27"/>
        </w:rPr>
      </w:r>
    </w:p>
    <w:p>
      <w:pPr>
        <w:pStyle w:val="ListParagraph"/>
        <w:tabs>
          <w:tab w:val="left" w:pos="993" w:leader="none"/>
        </w:tabs>
        <w:spacing w:lineRule="auto" w:line="240"/>
        <w:ind w:left="0" w:firstLine="567"/>
        <w:jc w:val="both"/>
        <w:rPr/>
      </w:pPr>
      <w:hyperlink r:id="rId3">
        <w:r>
          <w:rPr>
            <w:rStyle w:val="Style12"/>
            <w:rFonts w:ascii="Times New Roman" w:hAnsi="Times New Roman"/>
            <w:sz w:val="27"/>
            <w:szCs w:val="27"/>
          </w:rPr>
          <w:t>Пункт 5 статьи 3</w:t>
        </w:r>
      </w:hyperlink>
      <w:r>
        <w:rPr>
          <w:rFonts w:ascii="Times New Roman" w:hAnsi="Times New Roman"/>
          <w:sz w:val="27"/>
          <w:szCs w:val="27"/>
        </w:rPr>
        <w:t xml:space="preserve"> Федерального закона от 24.07.2007 </w:t>
      </w:r>
      <w:r>
        <w:rPr>
          <w:rFonts w:ascii="Times New Roman" w:hAnsi="Times New Roman"/>
          <w:sz w:val="27"/>
          <w:szCs w:val="27"/>
        </w:rPr>
        <w:t>№</w:t>
      </w:r>
      <w:r>
        <w:rPr>
          <w:rFonts w:ascii="Times New Roman" w:hAnsi="Times New Roman"/>
          <w:sz w:val="27"/>
          <w:szCs w:val="27"/>
        </w:rPr>
        <w:t xml:space="preserve"> 209-ФЗ «О развитии малого и среднего предпринимательства в Российской Федерации»  определяет понятие поддержки субъектов малого и среднего предпринимательства как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pPr>
        <w:pStyle w:val="ListParagraph"/>
        <w:tabs>
          <w:tab w:val="left" w:pos="993" w:leader="none"/>
        </w:tabs>
        <w:spacing w:lineRule="auto" w:line="240"/>
        <w:ind w:left="0" w:firstLine="567"/>
        <w:jc w:val="both"/>
        <w:rPr/>
      </w:pPr>
      <w:hyperlink r:id="rId4">
        <w:r>
          <w:rPr>
            <w:rStyle w:val="Style12"/>
            <w:rFonts w:ascii="Times New Roman" w:hAnsi="Times New Roman"/>
            <w:sz w:val="27"/>
            <w:szCs w:val="27"/>
          </w:rPr>
          <w:t>Статьей 14</w:t>
        </w:r>
      </w:hyperlink>
      <w:r>
        <w:rPr>
          <w:rFonts w:ascii="Times New Roman" w:hAnsi="Times New Roman"/>
          <w:sz w:val="27"/>
          <w:szCs w:val="27"/>
        </w:rPr>
        <w:t xml:space="preserve"> указанного Федерального закона установлено, что оказание поддержки субъектам малого и среднего предпринимательства органами государственной власти и органами местного самоуправления должно осуществляться с соблюдением требований, установленных </w:t>
      </w:r>
      <w:hyperlink r:id="rId5">
        <w:r>
          <w:rPr>
            <w:rStyle w:val="Style12"/>
            <w:rFonts w:ascii="Times New Roman" w:hAnsi="Times New Roman"/>
            <w:sz w:val="27"/>
            <w:szCs w:val="27"/>
          </w:rPr>
          <w:t>Законом</w:t>
        </w:r>
      </w:hyperlink>
      <w:r>
        <w:rPr>
          <w:rFonts w:ascii="Times New Roman" w:hAnsi="Times New Roman"/>
          <w:sz w:val="27"/>
          <w:szCs w:val="27"/>
        </w:rPr>
        <w:t xml:space="preserve"> о защите конкуренции.</w:t>
      </w:r>
    </w:p>
    <w:p>
      <w:pPr>
        <w:pStyle w:val="ListParagraph"/>
        <w:tabs>
          <w:tab w:val="left" w:pos="993" w:leader="none"/>
        </w:tabs>
        <w:spacing w:lineRule="auto" w:line="240"/>
        <w:ind w:left="0" w:firstLine="567"/>
        <w:jc w:val="both"/>
        <w:rPr/>
      </w:pPr>
      <w:r>
        <w:rPr>
          <w:rFonts w:ascii="Times New Roman" w:hAnsi="Times New Roman"/>
          <w:sz w:val="27"/>
          <w:szCs w:val="27"/>
        </w:rPr>
        <w:t xml:space="preserve">Согласно </w:t>
      </w:r>
      <w:hyperlink r:id="rId6">
        <w:r>
          <w:rPr>
            <w:rStyle w:val="Style12"/>
            <w:rFonts w:ascii="Times New Roman" w:hAnsi="Times New Roman"/>
            <w:sz w:val="27"/>
            <w:szCs w:val="27"/>
          </w:rPr>
          <w:t>пункту 3 части 5 статьи 14</w:t>
        </w:r>
      </w:hyperlink>
      <w:r>
        <w:rPr>
          <w:rFonts w:ascii="Times New Roman" w:hAnsi="Times New Roman"/>
          <w:sz w:val="27"/>
          <w:szCs w:val="27"/>
        </w:rPr>
        <w:t xml:space="preserve"> Закона о развитии предпринимательства в оказании поддержки должно быть отказано в случае, если ранее в отношении заявителя было принято решение об оказании аналогичной поддержки и сроки ее оказания не истекли.</w:t>
      </w:r>
    </w:p>
    <w:p>
      <w:pPr>
        <w:pStyle w:val="ListParagraph"/>
        <w:tabs>
          <w:tab w:val="left" w:pos="993" w:leader="none"/>
        </w:tabs>
        <w:spacing w:lineRule="auto" w:line="240"/>
        <w:ind w:left="0" w:firstLine="567"/>
        <w:jc w:val="both"/>
        <w:rPr/>
      </w:pPr>
      <w:r>
        <w:rPr>
          <w:rFonts w:ascii="Times New Roman" w:hAnsi="Times New Roman"/>
          <w:sz w:val="27"/>
          <w:szCs w:val="27"/>
        </w:rPr>
        <w:t xml:space="preserve">В </w:t>
      </w:r>
      <w:hyperlink r:id="rId7">
        <w:r>
          <w:rPr>
            <w:rStyle w:val="Style12"/>
            <w:rFonts w:ascii="Times New Roman" w:hAnsi="Times New Roman"/>
            <w:sz w:val="27"/>
            <w:szCs w:val="27"/>
          </w:rPr>
          <w:t>части 2 статьи 16</w:t>
        </w:r>
      </w:hyperlink>
      <w:r>
        <w:rPr>
          <w:rFonts w:ascii="Times New Roman" w:hAnsi="Times New Roman"/>
          <w:sz w:val="27"/>
          <w:szCs w:val="27"/>
        </w:rPr>
        <w:t xml:space="preserve"> Закона о развитии предпринимательства установлено, что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программами развития субъектов малого и среднего предпринимательства.</w:t>
      </w:r>
    </w:p>
    <w:p>
      <w:pPr>
        <w:pStyle w:val="ListParagraph"/>
        <w:tabs>
          <w:tab w:val="left" w:pos="993" w:leader="none"/>
        </w:tabs>
        <w:spacing w:lineRule="auto" w:line="240"/>
        <w:ind w:left="0" w:firstLine="567"/>
        <w:jc w:val="both"/>
        <w:rPr>
          <w:rFonts w:ascii="Times New Roman" w:hAnsi="Times New Roman"/>
          <w:sz w:val="27"/>
          <w:szCs w:val="27"/>
        </w:rPr>
      </w:pPr>
      <w:r>
        <w:rPr>
          <w:rFonts w:ascii="Times New Roman" w:hAnsi="Times New Roman"/>
          <w:sz w:val="27"/>
          <w:szCs w:val="27"/>
        </w:rPr>
        <w:t xml:space="preserve">Таким образом, ФАС России считает, что наличие программы развития субъектов малого и среднего предпринимательства, </w:t>
      </w:r>
      <w:r>
        <w:rPr>
          <w:rFonts w:ascii="Times New Roman" w:hAnsi="Times New Roman"/>
          <w:sz w:val="27"/>
          <w:szCs w:val="27"/>
          <w:u w:val="single"/>
        </w:rPr>
        <w:t>определяющей условия и порядок оказания поддержки хозяйствующим субъектам</w:t>
      </w:r>
      <w:r>
        <w:rPr>
          <w:rFonts w:ascii="Times New Roman" w:hAnsi="Times New Roman"/>
          <w:sz w:val="27"/>
          <w:szCs w:val="27"/>
        </w:rPr>
        <w:t>, является необходимым условием при предоставлении государственной или муниципальной преференции.</w:t>
      </w:r>
    </w:p>
    <w:p>
      <w:pPr>
        <w:pStyle w:val="ListParagraph"/>
        <w:tabs>
          <w:tab w:val="left" w:pos="993" w:leader="none"/>
        </w:tabs>
        <w:spacing w:lineRule="auto" w:line="240"/>
        <w:ind w:left="0" w:firstLine="567"/>
        <w:jc w:val="both"/>
        <w:rPr/>
      </w:pPr>
      <w:r>
        <w:rPr>
          <w:rFonts w:ascii="Times New Roman" w:hAnsi="Times New Roman"/>
          <w:sz w:val="27"/>
          <w:szCs w:val="27"/>
        </w:rPr>
        <w:t>Региональные (муниципальные) программы развития субъектов малого и среднего предпринимательства утверждаются нормативным правовым актом органа государственной власти субъекта Российской Федерации (органа местного самоуправления) и подлежат официальному опубликованию в средствах массовой информации и сети «Интернет». Факт наличия (отсутствия) на региональном или муниципальном уровне такой программы определяется антимонопольным органом самостоятельно.</w:t>
      </w:r>
    </w:p>
    <w:p>
      <w:pPr>
        <w:pStyle w:val="Normal"/>
        <w:tabs>
          <w:tab w:val="left" w:pos="993" w:leader="none"/>
        </w:tabs>
        <w:ind w:firstLine="567"/>
        <w:jc w:val="both"/>
        <w:rPr/>
      </w:pPr>
      <w:r>
        <w:rPr>
          <w:sz w:val="27"/>
          <w:szCs w:val="27"/>
        </w:rPr>
        <w:t xml:space="preserve">Исходя из установленных </w:t>
      </w:r>
      <w:hyperlink r:id="rId8">
        <w:r>
          <w:rPr>
            <w:rStyle w:val="Style12"/>
            <w:sz w:val="27"/>
            <w:szCs w:val="27"/>
          </w:rPr>
          <w:t>статьей 14</w:t>
        </w:r>
      </w:hyperlink>
      <w:r>
        <w:rPr>
          <w:sz w:val="27"/>
          <w:szCs w:val="27"/>
        </w:rPr>
        <w:t xml:space="preserve"> Закона о развитии предпринимательства принципов равного доступа субъектов МСП, соответствующих критериям, предусмотренным программами развития МСП, к участию в соответствующих программах, и оказания поддержки с соблюдением требований, установленных </w:t>
      </w:r>
      <w:hyperlink r:id="rId9">
        <w:r>
          <w:rPr>
            <w:rStyle w:val="Style12"/>
            <w:sz w:val="27"/>
            <w:szCs w:val="27"/>
          </w:rPr>
          <w:t>Законом</w:t>
        </w:r>
      </w:hyperlink>
      <w:r>
        <w:rPr>
          <w:sz w:val="27"/>
          <w:szCs w:val="27"/>
        </w:rPr>
        <w:t xml:space="preserve"> о защите конкуренции, а также требований </w:t>
      </w:r>
      <w:hyperlink r:id="rId10">
        <w:r>
          <w:rPr>
            <w:rStyle w:val="Style12"/>
            <w:sz w:val="27"/>
            <w:szCs w:val="27"/>
          </w:rPr>
          <w:t>статьи 16</w:t>
        </w:r>
      </w:hyperlink>
      <w:r>
        <w:rPr>
          <w:sz w:val="27"/>
          <w:szCs w:val="27"/>
        </w:rPr>
        <w:t xml:space="preserve"> Закона о развитии предпринимательства об установлении в указанных программах условий и порядка оказания поддержки субъектов МСП, ФАС России приходит к выводу о необходимости наличия в программах поддержки субъектов МСП критериев участия субъектов МСП в таких программах, условий и порядка оказания поддержки субъектов МСП, обеспечивающих субъектам МСП равный доступ к участию в указанных программах.</w:t>
      </w:r>
    </w:p>
    <w:p>
      <w:pPr>
        <w:pStyle w:val="Normal"/>
        <w:tabs>
          <w:tab w:val="left" w:pos="993" w:leader="none"/>
        </w:tabs>
        <w:ind w:firstLine="567"/>
        <w:jc w:val="both"/>
        <w:rPr/>
      </w:pPr>
      <w:r>
        <w:rPr>
          <w:sz w:val="27"/>
          <w:szCs w:val="27"/>
        </w:rPr>
        <w:t xml:space="preserve">При соблюдении указанных условий предоставление государственных и муниципальных преференций субъектам МСП в соответствии с федеральной, региональной, муниципальной программой развития субъектов МСП может осуществляться без согласования с антимонопольным органом в соответствии с </w:t>
      </w:r>
      <w:hyperlink r:id="rId11">
        <w:r>
          <w:rPr>
            <w:rStyle w:val="Style12"/>
            <w:sz w:val="27"/>
            <w:szCs w:val="27"/>
          </w:rPr>
          <w:t>пунктом 4 части 3 статьи 19</w:t>
        </w:r>
      </w:hyperlink>
      <w:r>
        <w:rPr>
          <w:sz w:val="27"/>
          <w:szCs w:val="27"/>
        </w:rPr>
        <w:t xml:space="preserve"> Закона о защите конкуренции.</w:t>
      </w:r>
    </w:p>
    <w:p>
      <w:pPr>
        <w:pStyle w:val="Normal"/>
        <w:tabs>
          <w:tab w:val="left" w:pos="993" w:leader="none"/>
        </w:tabs>
        <w:ind w:firstLine="567"/>
        <w:jc w:val="both"/>
        <w:rPr/>
      </w:pPr>
      <w:r>
        <w:rPr>
          <w:sz w:val="27"/>
          <w:szCs w:val="27"/>
        </w:rPr>
        <w:t xml:space="preserve">При отсутствии соответствующих программ развития субъектов МСП у органов власти отсутствуют правовые основания для предоставления государственных или муниципальных преференций в целях, установленных </w:t>
      </w:r>
      <w:hyperlink r:id="rId12">
        <w:r>
          <w:rPr>
            <w:rStyle w:val="Style12"/>
            <w:sz w:val="27"/>
            <w:szCs w:val="27"/>
          </w:rPr>
          <w:t>пунктом 13 части 1 статьи 19</w:t>
        </w:r>
      </w:hyperlink>
      <w:r>
        <w:rPr>
          <w:sz w:val="27"/>
          <w:szCs w:val="27"/>
        </w:rPr>
        <w:t xml:space="preserve"> Закона о защите конкуренции. Вместе с тем, предоставление государственных или муниципальных преференций таким хозяйствующим субъектам с предварительного согласия антимонопольных органов возможно в иных целях, установленных </w:t>
      </w:r>
      <w:hyperlink r:id="rId13">
        <w:r>
          <w:rPr>
            <w:rStyle w:val="Style12"/>
            <w:sz w:val="27"/>
            <w:szCs w:val="27"/>
          </w:rPr>
          <w:t>частью 1 статьи 19</w:t>
        </w:r>
      </w:hyperlink>
      <w:r>
        <w:rPr>
          <w:sz w:val="27"/>
          <w:szCs w:val="27"/>
        </w:rPr>
        <w:t xml:space="preserve"> Закона о защите конкуренции.</w:t>
      </w:r>
    </w:p>
    <w:p>
      <w:pPr>
        <w:pStyle w:val="Normal"/>
        <w:widowControl w:val="false"/>
        <w:tabs>
          <w:tab w:val="left" w:pos="993" w:leader="none"/>
        </w:tabs>
        <w:ind w:firstLine="567"/>
        <w:jc w:val="both"/>
        <w:rPr/>
      </w:pPr>
      <w:r>
        <w:rPr>
          <w:i/>
          <w:sz w:val="27"/>
          <w:szCs w:val="27"/>
          <w:u w:val="single"/>
        </w:rPr>
        <w:t>Например</w:t>
      </w:r>
      <w:r>
        <w:rPr>
          <w:i/>
          <w:sz w:val="27"/>
          <w:szCs w:val="27"/>
        </w:rPr>
        <w:t>:</w:t>
      </w:r>
      <w:r>
        <w:rPr>
          <w:sz w:val="27"/>
          <w:szCs w:val="27"/>
        </w:rPr>
        <w:t xml:space="preserve"> </w:t>
      </w:r>
      <w:r>
        <w:rPr>
          <w:rFonts w:eastAsia="" w:eastAsiaTheme="minorEastAsia"/>
          <w:sz w:val="27"/>
          <w:szCs w:val="27"/>
        </w:rPr>
        <w:t xml:space="preserve">Администрацией </w:t>
      </w:r>
      <w:r>
        <w:rPr>
          <w:rFonts w:eastAsia=""/>
          <w:color w:val="000000"/>
          <w:spacing w:val="-8"/>
          <w:sz w:val="27"/>
          <w:szCs w:val="27"/>
        </w:rPr>
        <w:t xml:space="preserve">нормативным актом утверждена Программа развития субъектов МСП. </w:t>
      </w:r>
    </w:p>
    <w:p>
      <w:pPr>
        <w:pStyle w:val="Normal"/>
        <w:tabs>
          <w:tab w:val="left" w:pos="993" w:leader="none"/>
        </w:tabs>
        <w:ind w:firstLine="567"/>
        <w:jc w:val="both"/>
        <w:rPr>
          <w:sz w:val="27"/>
          <w:szCs w:val="27"/>
        </w:rPr>
      </w:pPr>
      <w:r>
        <w:rPr>
          <w:sz w:val="27"/>
          <w:szCs w:val="27"/>
        </w:rPr>
        <w:t xml:space="preserve">При анализе Программы установлено, что ни условия, ни порядок оказания поддержки хозяйствующим субъектам данной Программой не определены. </w:t>
      </w:r>
    </w:p>
    <w:p>
      <w:pPr>
        <w:pStyle w:val="Normal"/>
        <w:tabs>
          <w:tab w:val="left" w:pos="993" w:leader="none"/>
        </w:tabs>
        <w:ind w:firstLine="567"/>
        <w:jc w:val="both"/>
        <w:rPr/>
      </w:pPr>
      <w:r>
        <w:rPr>
          <w:sz w:val="27"/>
          <w:szCs w:val="27"/>
        </w:rPr>
        <w:t xml:space="preserve">Отсутствие в Программе условий и порядка оказания поддержки </w:t>
      </w:r>
      <w:r>
        <w:rPr>
          <w:rFonts w:eastAsia=""/>
          <w:color w:val="000000"/>
          <w:spacing w:val="-8"/>
          <w:sz w:val="27"/>
          <w:szCs w:val="27"/>
        </w:rPr>
        <w:t xml:space="preserve">субъектов МСП </w:t>
      </w:r>
      <w:r>
        <w:rPr>
          <w:rFonts w:eastAsia=""/>
          <w:color w:val="000000"/>
          <w:spacing w:val="-8"/>
          <w:sz w:val="27"/>
          <w:szCs w:val="27"/>
        </w:rPr>
        <w:t>ограничивают доступ участия в программе таким субъектам и позволяет принимать органу власти незаконные, а за частую дискриминационные решения при предоставлении преференции.</w:t>
      </w:r>
    </w:p>
    <w:p>
      <w:pPr>
        <w:pStyle w:val="Normal"/>
        <w:tabs>
          <w:tab w:val="left" w:pos="993" w:leader="none"/>
        </w:tabs>
        <w:ind w:hanging="0"/>
        <w:jc w:val="both"/>
        <w:rPr>
          <w:rFonts w:eastAsia="Calibri" w:eastAsiaTheme="minorHAnsi"/>
          <w:sz w:val="27"/>
          <w:szCs w:val="27"/>
        </w:rPr>
      </w:pPr>
      <w:r>
        <w:rPr/>
      </w:r>
    </w:p>
    <w:p>
      <w:pPr>
        <w:pStyle w:val="Normal"/>
        <w:tabs>
          <w:tab w:val="left" w:pos="993" w:leader="none"/>
        </w:tabs>
        <w:ind w:firstLine="567"/>
        <w:jc w:val="both"/>
        <w:rPr>
          <w:b/>
          <w:b/>
          <w:sz w:val="27"/>
          <w:szCs w:val="27"/>
        </w:rPr>
      </w:pPr>
      <w:r>
        <w:rPr>
          <w:sz w:val="27"/>
          <w:szCs w:val="27"/>
        </w:rPr>
        <w:t xml:space="preserve"> </w:t>
      </w:r>
    </w:p>
    <w:p>
      <w:pPr>
        <w:pStyle w:val="Normal"/>
        <w:tabs>
          <w:tab w:val="left" w:pos="993" w:leader="none"/>
        </w:tabs>
        <w:ind w:firstLine="567"/>
        <w:jc w:val="both"/>
        <w:rPr/>
      </w:pPr>
      <w:r>
        <w:rPr>
          <w:b/>
          <w:sz w:val="27"/>
          <w:szCs w:val="27"/>
        </w:rPr>
        <w:t>5</w:t>
      </w:r>
      <w:r>
        <w:rPr>
          <w:b/>
          <w:sz w:val="27"/>
          <w:szCs w:val="27"/>
        </w:rPr>
        <w:t>. Передача объектов коммунальной инфраструктуры (без концессионного соглашения)</w:t>
      </w:r>
    </w:p>
    <w:p>
      <w:pPr>
        <w:pStyle w:val="NormalWeb"/>
        <w:shd w:val="clear" w:color="auto" w:fill="FFFFFF"/>
        <w:tabs>
          <w:tab w:val="left" w:pos="993" w:leader="none"/>
        </w:tabs>
        <w:spacing w:before="0" w:after="60"/>
        <w:ind w:firstLine="567"/>
        <w:jc w:val="both"/>
        <w:textAlignment w:val="baseline"/>
        <w:rPr>
          <w:rFonts w:ascii="Times New Roman" w:hAnsi="Times New Roman" w:cs="Times New Roman"/>
          <w:sz w:val="27"/>
          <w:szCs w:val="27"/>
        </w:rPr>
      </w:pPr>
      <w:r>
        <w:rPr>
          <w:rFonts w:cs="Times New Roman" w:ascii="Times New Roman" w:hAnsi="Times New Roman"/>
          <w:sz w:val="27"/>
          <w:szCs w:val="27"/>
        </w:rPr>
        <w:t xml:space="preserve">С момента официального опубликования (08.05.2013) Федерального закона от 07.05.2013 №103-ФЗ «О внесении изменений в Федеральный закон «О концессионных соглашениях» и отдельные законодательные акты Российской Федерации» (далее - Закон № 103-ФЗ)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Законами о теплоснабжении, водоснабжении,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w:t>
      </w:r>
    </w:p>
    <w:p>
      <w:pPr>
        <w:pStyle w:val="NormalWeb"/>
        <w:shd w:val="clear" w:color="auto" w:fill="FFFFFF"/>
        <w:tabs>
          <w:tab w:val="left" w:pos="993" w:leader="none"/>
        </w:tabs>
        <w:spacing w:before="0" w:after="60"/>
        <w:ind w:firstLine="567"/>
        <w:jc w:val="both"/>
        <w:textAlignment w:val="baseline"/>
        <w:rPr>
          <w:rFonts w:ascii="Times New Roman" w:hAnsi="Times New Roman" w:cs="Times New Roman"/>
          <w:sz w:val="27"/>
          <w:szCs w:val="27"/>
        </w:rPr>
      </w:pPr>
      <w:r>
        <w:rPr>
          <w:rFonts w:cs="Times New Roman" w:ascii="Times New Roman" w:hAnsi="Times New Roman"/>
          <w:sz w:val="27"/>
          <w:szCs w:val="27"/>
        </w:rPr>
        <w:t>При этом, договор аренды в отношении таких объектов может быть заключен при условии, что все объекты теплоснабжения, водоснабжения и водоотведения, в отношении которых планируется передача прав владения и (или) пользования, были введены в эксплуатацию менее чем за пять лет до момента опубликования извещения о проведении конкурса, в ином случае - только концессионное соглашение.</w:t>
      </w:r>
    </w:p>
    <w:p>
      <w:pPr>
        <w:pStyle w:val="NormalWeb"/>
        <w:shd w:val="clear" w:color="auto" w:fill="FFFFFF"/>
        <w:tabs>
          <w:tab w:val="left" w:pos="993" w:leader="none"/>
        </w:tabs>
        <w:spacing w:before="0" w:after="60"/>
        <w:ind w:firstLine="567"/>
        <w:jc w:val="both"/>
        <w:textAlignment w:val="baseline"/>
        <w:rPr>
          <w:rFonts w:ascii="Times New Roman" w:hAnsi="Times New Roman" w:cs="Times New Roman"/>
          <w:sz w:val="27"/>
          <w:szCs w:val="27"/>
        </w:rPr>
      </w:pPr>
      <w:r>
        <w:rPr>
          <w:rFonts w:cs="Times New Roman" w:ascii="Times New Roman" w:hAnsi="Times New Roman"/>
          <w:sz w:val="27"/>
          <w:szCs w:val="27"/>
        </w:rPr>
        <w:t>По мнению ФАС России (письмо от 14.06.2016 № АД/40064/16), в настоящее время законодательство Российской Федерации не предусматривает возможности передавать объекты теплоснабжения, централизованных систем горячего водоснабжения, холодного водоснабжения и (или) водоотведения путем предоставления преференции.</w:t>
      </w:r>
    </w:p>
    <w:p>
      <w:pPr>
        <w:pStyle w:val="NormalWeb"/>
        <w:shd w:val="clear" w:color="auto" w:fill="FFFFFF"/>
        <w:tabs>
          <w:tab w:val="left" w:pos="993" w:leader="none"/>
        </w:tabs>
        <w:spacing w:before="0" w:after="60"/>
        <w:ind w:firstLine="567"/>
        <w:jc w:val="both"/>
        <w:textAlignment w:val="baseline"/>
        <w:rPr>
          <w:rFonts w:ascii="Times New Roman" w:hAnsi="Times New Roman" w:cs="Times New Roman"/>
          <w:color w:val="00000A"/>
          <w:sz w:val="27"/>
          <w:szCs w:val="27"/>
        </w:rPr>
      </w:pPr>
      <w:r>
        <w:rPr>
          <w:rFonts w:cs="Times New Roman" w:ascii="Times New Roman" w:hAnsi="Times New Roman"/>
          <w:color w:val="00000A"/>
          <w:sz w:val="27"/>
          <w:szCs w:val="27"/>
        </w:rPr>
        <w:t>Законом о концессии  предусмотрены случаи заключения концессионного соглашения без проведения торгов.</w:t>
      </w:r>
    </w:p>
    <w:p>
      <w:pPr>
        <w:pStyle w:val="NormalWeb"/>
        <w:shd w:val="clear" w:color="auto" w:fill="FFFFFF"/>
        <w:tabs>
          <w:tab w:val="left" w:pos="993" w:leader="none"/>
        </w:tabs>
        <w:spacing w:before="0" w:after="60"/>
        <w:ind w:firstLine="567"/>
        <w:jc w:val="both"/>
        <w:textAlignment w:val="baseline"/>
        <w:rPr>
          <w:rFonts w:ascii="Times New Roman" w:hAnsi="Times New Roman" w:cs="Times New Roman"/>
          <w:color w:val="00000A"/>
          <w:sz w:val="27"/>
          <w:szCs w:val="27"/>
        </w:rPr>
      </w:pPr>
      <w:r>
        <w:rPr>
          <w:rFonts w:cs="Times New Roman" w:ascii="Times New Roman" w:hAnsi="Times New Roman"/>
          <w:color w:val="00000A"/>
          <w:sz w:val="27"/>
          <w:szCs w:val="27"/>
        </w:rPr>
        <w:t xml:space="preserve"> </w:t>
      </w:r>
      <w:r>
        <w:rPr>
          <w:rFonts w:cs="Times New Roman" w:ascii="Times New Roman" w:hAnsi="Times New Roman"/>
          <w:color w:val="00000A"/>
          <w:sz w:val="27"/>
          <w:szCs w:val="27"/>
        </w:rPr>
        <w:t>Таким образом, в настоящее время в Законе о концессии предусмотрены основания и порядок передачи объектов теплоснабжения, централизованных систем горячего водоснабжения, холодного водоснабжения и (или) водоотведения в концессию без проведения торгов и без использования механизма предоставления преференций.</w:t>
      </w:r>
    </w:p>
    <w:p>
      <w:pPr>
        <w:pStyle w:val="ListParagraph"/>
        <w:tabs>
          <w:tab w:val="left" w:pos="709" w:leader="none"/>
          <w:tab w:val="left" w:pos="993" w:leader="none"/>
        </w:tabs>
        <w:spacing w:lineRule="auto" w:line="240"/>
        <w:ind w:left="0" w:firstLine="567"/>
        <w:jc w:val="both"/>
        <w:rPr/>
      </w:pPr>
      <w:r>
        <w:rPr>
          <w:rFonts w:ascii="Times New Roman" w:hAnsi="Times New Roman"/>
          <w:sz w:val="27"/>
          <w:szCs w:val="27"/>
        </w:rPr>
        <w:t xml:space="preserve"> </w:t>
      </w:r>
      <w:r>
        <w:rPr>
          <w:rFonts w:ascii="Times New Roman" w:hAnsi="Times New Roman"/>
          <w:sz w:val="27"/>
          <w:szCs w:val="27"/>
        </w:rPr>
        <w:t xml:space="preserve">Итак, при нарушении порядка предоставления преференций или несоответствии ее использования заявленным целям предусмотрены последствия в виде предписания антимонопольного органа о принятии мер по возврату имущества, денежных средств, иных объектов гражданских прав или о принятии мер по прекращению использования преимущества хозяйствующим субъектом, получившим преференцию (ст. 21 </w:t>
      </w:r>
      <w:r>
        <w:rPr>
          <w:rFonts w:ascii="Times New Roman" w:hAnsi="Times New Roman"/>
          <w:sz w:val="27"/>
          <w:szCs w:val="27"/>
        </w:rPr>
        <w:t>Закона о защите конкруенции</w:t>
      </w:r>
      <w:r>
        <w:rPr>
          <w:rFonts w:ascii="Times New Roman" w:hAnsi="Times New Roman"/>
          <w:sz w:val="27"/>
          <w:szCs w:val="27"/>
        </w:rPr>
        <w:t>), а также за ограничение или устранение конкуренции предусмотрена и административная ответственность (</w:t>
      </w:r>
      <w:r>
        <w:rPr>
          <w:rFonts w:ascii="Times New Roman" w:hAnsi="Times New Roman"/>
          <w:b/>
          <w:sz w:val="27"/>
          <w:szCs w:val="27"/>
        </w:rPr>
        <w:t>ст. 14.9; 14.32; 19.5; 19.8</w:t>
      </w:r>
      <w:r>
        <w:rPr>
          <w:rFonts w:ascii="Times New Roman" w:hAnsi="Times New Roman"/>
          <w:sz w:val="27"/>
          <w:szCs w:val="27"/>
        </w:rPr>
        <w:t xml:space="preserve"> КоАП РФ).</w:t>
      </w:r>
    </w:p>
    <w:p>
      <w:pPr>
        <w:pStyle w:val="ListParagraph"/>
        <w:tabs>
          <w:tab w:val="left" w:pos="709" w:leader="none"/>
          <w:tab w:val="left" w:pos="993" w:leader="none"/>
        </w:tabs>
        <w:spacing w:lineRule="auto" w:line="240"/>
        <w:ind w:left="0" w:firstLine="567"/>
        <w:jc w:val="both"/>
        <w:rPr>
          <w:rFonts w:ascii="Times New Roman" w:hAnsi="Times New Roman"/>
          <w:sz w:val="27"/>
          <w:szCs w:val="27"/>
        </w:rPr>
      </w:pPr>
      <w:r>
        <w:rPr/>
      </w:r>
    </w:p>
    <w:p>
      <w:pPr>
        <w:pStyle w:val="ListParagraph"/>
        <w:tabs>
          <w:tab w:val="left" w:pos="851" w:leader="none"/>
          <w:tab w:val="left" w:pos="993" w:leader="none"/>
        </w:tabs>
        <w:spacing w:lineRule="auto" w:line="240"/>
        <w:ind w:left="0" w:firstLine="567"/>
        <w:jc w:val="center"/>
        <w:rPr>
          <w:rFonts w:ascii="Times New Roman" w:hAnsi="Times New Roman"/>
          <w:b/>
          <w:b/>
          <w:bCs/>
          <w:sz w:val="27"/>
          <w:szCs w:val="27"/>
          <w:lang w:val="en-US"/>
        </w:rPr>
      </w:pPr>
      <w:r>
        <w:rPr>
          <w:rFonts w:ascii="Times New Roman" w:hAnsi="Times New Roman"/>
          <w:b/>
          <w:bCs/>
          <w:sz w:val="27"/>
          <w:szCs w:val="27"/>
          <w:lang w:val="en-US"/>
        </w:rPr>
        <w:t>III.</w:t>
      </w:r>
    </w:p>
    <w:p>
      <w:pPr>
        <w:pStyle w:val="ListParagraph"/>
        <w:numPr>
          <w:ilvl w:val="0"/>
          <w:numId w:val="0"/>
        </w:numPr>
        <w:tabs>
          <w:tab w:val="left" w:pos="993" w:leader="none"/>
        </w:tabs>
        <w:ind w:left="1620" w:hanging="0"/>
        <w:jc w:val="both"/>
        <w:rPr/>
      </w:pPr>
      <w:r>
        <w:rPr>
          <w:rFonts w:ascii="Times New Roman" w:hAnsi="Times New Roman"/>
          <w:b/>
          <w:sz w:val="27"/>
          <w:szCs w:val="27"/>
          <w:u w:val="none"/>
          <w:shd w:fill="FFFFFF" w:val="clear"/>
        </w:rPr>
        <w:t xml:space="preserve">     </w:t>
      </w:r>
      <w:r>
        <w:rPr>
          <w:rFonts w:ascii="Times New Roman" w:hAnsi="Times New Roman"/>
          <w:b/>
          <w:sz w:val="27"/>
          <w:szCs w:val="27"/>
          <w:u w:val="single"/>
          <w:shd w:fill="FFFFFF" w:val="clear"/>
        </w:rPr>
        <w:t>Наиболее частые нарушения, совершаемые заказчиками (организаторами торгов) при организации и проведении закупок по 223-ФЗ.</w:t>
      </w:r>
    </w:p>
    <w:p>
      <w:pPr>
        <w:pStyle w:val="Normal"/>
        <w:ind w:firstLine="567"/>
        <w:jc w:val="both"/>
        <w:rPr/>
      </w:pPr>
      <w:r>
        <w:rPr>
          <w:bCs/>
          <w:sz w:val="27"/>
          <w:szCs w:val="27"/>
        </w:rPr>
        <w:t xml:space="preserve">В соответствии с ч.1 статьи 18.1 Закона о защите конкуренции по правилам настоящей статьи антимонопольный орган рассматривает жалобы, в том числе,  на действия (бездействие) юридического лица, организатора торгов, конкурсной комиссии или аукционной комиссии при организации и проведении </w:t>
      </w:r>
      <w:r>
        <w:rPr>
          <w:sz w:val="27"/>
          <w:szCs w:val="27"/>
        </w:rPr>
        <w:t xml:space="preserve">закупок в соответствии с </w:t>
      </w:r>
      <w:hyperlink r:id="rId14">
        <w:r>
          <w:rPr>
            <w:rStyle w:val="Style12"/>
            <w:sz w:val="27"/>
            <w:szCs w:val="27"/>
          </w:rPr>
          <w:t>Законом</w:t>
        </w:r>
      </w:hyperlink>
      <w:r>
        <w:rPr>
          <w:sz w:val="27"/>
          <w:szCs w:val="27"/>
        </w:rPr>
        <w:t xml:space="preserve"> о закупках.</w:t>
      </w:r>
    </w:p>
    <w:p>
      <w:pPr>
        <w:pStyle w:val="Normal"/>
        <w:jc w:val="both"/>
        <w:rPr/>
      </w:pPr>
      <w:r>
        <w:rPr>
          <w:bCs/>
          <w:sz w:val="27"/>
          <w:szCs w:val="27"/>
        </w:rPr>
        <w:t xml:space="preserve"> </w:t>
      </w:r>
      <w:r>
        <w:rPr>
          <w:bCs/>
          <w:sz w:val="27"/>
          <w:szCs w:val="27"/>
        </w:rPr>
        <w:tab/>
      </w:r>
      <w:r>
        <w:rPr>
          <w:rFonts w:eastAsia="Calibri"/>
          <w:sz w:val="27"/>
          <w:szCs w:val="27"/>
        </w:rPr>
        <w:t xml:space="preserve">Согласно </w:t>
      </w:r>
      <w:hyperlink r:id="rId15">
        <w:r>
          <w:rPr>
            <w:rStyle w:val="Style12"/>
            <w:rFonts w:eastAsia="Calibri"/>
            <w:sz w:val="27"/>
            <w:szCs w:val="27"/>
          </w:rPr>
          <w:t>ч. 2 статьи  18.1</w:t>
        </w:r>
      </w:hyperlink>
      <w:r>
        <w:rPr>
          <w:rFonts w:eastAsia="Calibri"/>
          <w:sz w:val="27"/>
          <w:szCs w:val="27"/>
        </w:rPr>
        <w:t xml:space="preserve"> Закона о защите конкуренции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w:t>
      </w:r>
    </w:p>
    <w:p>
      <w:pPr>
        <w:pStyle w:val="ListParagraph"/>
        <w:tabs>
          <w:tab w:val="left" w:pos="851" w:leader="none"/>
          <w:tab w:val="left" w:pos="993" w:leader="none"/>
        </w:tabs>
        <w:spacing w:lineRule="auto" w:line="240"/>
        <w:ind w:left="0" w:firstLine="567"/>
        <w:jc w:val="both"/>
        <w:rPr/>
      </w:pPr>
      <w:r>
        <w:rPr>
          <w:rFonts w:ascii="Times New Roman" w:hAnsi="Times New Roman"/>
          <w:color w:val="000000"/>
          <w:sz w:val="27"/>
          <w:szCs w:val="27"/>
        </w:rPr>
        <w:t xml:space="preserve">В 2016 году в </w:t>
      </w:r>
      <w:r>
        <w:rPr>
          <w:rFonts w:ascii="Times New Roman" w:hAnsi="Times New Roman"/>
          <w:color w:val="000000"/>
          <w:sz w:val="27"/>
          <w:szCs w:val="27"/>
        </w:rPr>
        <w:t>Ханты-Мансийское</w:t>
      </w:r>
      <w:r>
        <w:rPr>
          <w:rFonts w:ascii="Times New Roman" w:hAnsi="Times New Roman"/>
          <w:color w:val="000000"/>
          <w:sz w:val="27"/>
          <w:szCs w:val="27"/>
        </w:rPr>
        <w:t xml:space="preserve"> УФАС России поступило </w:t>
      </w:r>
      <w:r>
        <w:rPr>
          <w:rFonts w:ascii="Times New Roman" w:hAnsi="Times New Roman"/>
          <w:color w:val="000000"/>
          <w:sz w:val="27"/>
          <w:szCs w:val="27"/>
        </w:rPr>
        <w:t>215</w:t>
      </w:r>
      <w:r>
        <w:rPr>
          <w:rFonts w:ascii="Times New Roman" w:hAnsi="Times New Roman"/>
          <w:color w:val="000000"/>
          <w:sz w:val="27"/>
          <w:szCs w:val="27"/>
        </w:rPr>
        <w:t xml:space="preserve"> жалоб (в 2015 году – </w:t>
      </w:r>
      <w:r>
        <w:rPr>
          <w:rFonts w:ascii="Times New Roman" w:hAnsi="Times New Roman"/>
          <w:color w:val="000000"/>
          <w:sz w:val="27"/>
          <w:szCs w:val="27"/>
        </w:rPr>
        <w:t>120)</w:t>
      </w:r>
      <w:r>
        <w:rPr>
          <w:rFonts w:ascii="Times New Roman" w:hAnsi="Times New Roman"/>
          <w:color w:val="000000"/>
          <w:sz w:val="27"/>
          <w:szCs w:val="27"/>
        </w:rPr>
        <w:t xml:space="preserve">, </w:t>
      </w:r>
      <w:r>
        <w:rPr>
          <w:rFonts w:ascii="Times New Roman" w:hAnsi="Times New Roman"/>
          <w:sz w:val="27"/>
          <w:szCs w:val="27"/>
        </w:rPr>
        <w:t xml:space="preserve">из которых принято к рассмотрению </w:t>
      </w:r>
      <w:r>
        <w:rPr>
          <w:rFonts w:ascii="Times New Roman" w:hAnsi="Times New Roman"/>
          <w:b/>
          <w:sz w:val="27"/>
          <w:szCs w:val="27"/>
        </w:rPr>
        <w:t>193</w:t>
      </w:r>
      <w:r>
        <w:rPr>
          <w:rFonts w:ascii="Times New Roman" w:hAnsi="Times New Roman"/>
          <w:sz w:val="27"/>
          <w:szCs w:val="27"/>
        </w:rPr>
        <w:t xml:space="preserve">. Обоснованными признаны </w:t>
      </w:r>
      <w:r>
        <w:rPr>
          <w:rFonts w:ascii="Times New Roman" w:hAnsi="Times New Roman"/>
          <w:sz w:val="27"/>
          <w:szCs w:val="27"/>
        </w:rPr>
        <w:t>103</w:t>
      </w:r>
      <w:r>
        <w:rPr>
          <w:rFonts w:ascii="Times New Roman" w:hAnsi="Times New Roman"/>
          <w:sz w:val="27"/>
          <w:szCs w:val="27"/>
        </w:rPr>
        <w:t xml:space="preserve"> жалобы, </w:t>
      </w:r>
      <w:r>
        <w:rPr>
          <w:rFonts w:ascii="Times New Roman" w:hAnsi="Times New Roman"/>
          <w:sz w:val="27"/>
          <w:szCs w:val="27"/>
        </w:rPr>
        <w:t>необоснованными 90 жалоб,</w:t>
      </w:r>
      <w:r>
        <w:rPr>
          <w:rFonts w:ascii="Times New Roman" w:hAnsi="Times New Roman"/>
          <w:sz w:val="27"/>
          <w:szCs w:val="27"/>
        </w:rPr>
        <w:t xml:space="preserve"> </w:t>
      </w:r>
      <w:r>
        <w:rPr>
          <w:rFonts w:ascii="Times New Roman" w:hAnsi="Times New Roman"/>
          <w:sz w:val="27"/>
          <w:szCs w:val="27"/>
        </w:rPr>
        <w:t>выдано</w:t>
      </w:r>
      <w:r>
        <w:rPr>
          <w:rFonts w:ascii="Times New Roman" w:hAnsi="Times New Roman"/>
          <w:sz w:val="27"/>
          <w:szCs w:val="27"/>
        </w:rPr>
        <w:t xml:space="preserve"> </w:t>
      </w:r>
      <w:r>
        <w:rPr>
          <w:rFonts w:ascii="Times New Roman" w:hAnsi="Times New Roman"/>
          <w:sz w:val="27"/>
          <w:szCs w:val="27"/>
        </w:rPr>
        <w:t xml:space="preserve">94 </w:t>
      </w:r>
      <w:r>
        <w:rPr>
          <w:rFonts w:ascii="Times New Roman" w:hAnsi="Times New Roman"/>
          <w:sz w:val="27"/>
          <w:szCs w:val="27"/>
        </w:rPr>
        <w:t>предписания об устранении нарушения.</w:t>
      </w:r>
    </w:p>
    <w:p>
      <w:pPr>
        <w:pStyle w:val="Normal"/>
        <w:widowControl w:val="false"/>
        <w:ind w:firstLine="539"/>
        <w:jc w:val="both"/>
        <w:rPr>
          <w:sz w:val="27"/>
          <w:szCs w:val="27"/>
        </w:rPr>
      </w:pPr>
      <w:r>
        <w:rPr>
          <w:sz w:val="27"/>
          <w:szCs w:val="27"/>
        </w:rPr>
        <w:t xml:space="preserve">Как показала практика, </w:t>
      </w:r>
      <w:r>
        <w:rPr>
          <w:b/>
          <w:sz w:val="27"/>
          <w:szCs w:val="27"/>
        </w:rPr>
        <w:t>типичными нарушениями</w:t>
      </w:r>
      <w:r>
        <w:rPr>
          <w:sz w:val="27"/>
          <w:szCs w:val="27"/>
        </w:rPr>
        <w:t>, которые допускаются заказчиками (уполномоченными органами) в ходе проведения закупок, как правило, выражаются в следующих действиях:</w:t>
      </w:r>
    </w:p>
    <w:p>
      <w:pPr>
        <w:pStyle w:val="Normal"/>
        <w:ind w:firstLine="567"/>
        <w:jc w:val="both"/>
        <w:rPr>
          <w:sz w:val="27"/>
          <w:szCs w:val="27"/>
          <w:shd w:fill="FFFFFF" w:val="clear"/>
        </w:rPr>
      </w:pPr>
      <w:r>
        <w:rPr>
          <w:sz w:val="27"/>
          <w:szCs w:val="27"/>
          <w:shd w:fill="FFFFFF" w:val="clear"/>
        </w:rPr>
      </w:r>
    </w:p>
    <w:p>
      <w:pPr>
        <w:pStyle w:val="ListParagraph"/>
        <w:numPr>
          <w:ilvl w:val="0"/>
          <w:numId w:val="2"/>
        </w:numPr>
        <w:tabs>
          <w:tab w:val="left" w:pos="851" w:leader="none"/>
        </w:tabs>
        <w:spacing w:lineRule="auto" w:line="240" w:before="0" w:after="0"/>
        <w:ind w:left="0" w:firstLine="567"/>
        <w:contextualSpacing/>
        <w:jc w:val="both"/>
        <w:rPr>
          <w:rFonts w:ascii="Times New Roman" w:hAnsi="Times New Roman"/>
          <w:b/>
          <w:b/>
          <w:sz w:val="27"/>
          <w:szCs w:val="27"/>
        </w:rPr>
      </w:pPr>
      <w:r>
        <w:rPr>
          <w:rFonts w:ascii="Times New Roman" w:hAnsi="Times New Roman"/>
          <w:b/>
          <w:sz w:val="27"/>
          <w:szCs w:val="27"/>
        </w:rPr>
        <w:t>Заключение договора по результатам закупочной процедуры без соблюдения десятидневного срока на обжалование результатов закупочной процедуры в антимонопольный орган.</w:t>
      </w:r>
    </w:p>
    <w:p>
      <w:pPr>
        <w:pStyle w:val="Normal"/>
        <w:ind w:firstLine="709"/>
        <w:jc w:val="both"/>
        <w:rPr/>
      </w:pPr>
      <w:r>
        <w:rPr>
          <w:sz w:val="27"/>
          <w:szCs w:val="27"/>
        </w:rPr>
        <w:t xml:space="preserve">Из положений </w:t>
      </w:r>
      <w:hyperlink r:id="rId16">
        <w:r>
          <w:rPr>
            <w:rStyle w:val="Style12"/>
            <w:sz w:val="27"/>
            <w:szCs w:val="27"/>
          </w:rPr>
          <w:t>статьи 1</w:t>
        </w:r>
      </w:hyperlink>
      <w:r>
        <w:rPr>
          <w:sz w:val="27"/>
          <w:szCs w:val="27"/>
        </w:rPr>
        <w:t xml:space="preserve"> Закона о закупках следует, что целью регулирования данного </w:t>
      </w:r>
      <w:hyperlink r:id="rId17">
        <w:r>
          <w:rPr>
            <w:rStyle w:val="Style12"/>
            <w:sz w:val="27"/>
            <w:szCs w:val="27"/>
          </w:rPr>
          <w:t>Закона</w:t>
        </w:r>
      </w:hyperlink>
      <w:r>
        <w:rPr>
          <w:sz w:val="27"/>
          <w:szCs w:val="27"/>
        </w:rPr>
        <w:t xml:space="preserve"> является, в том числе, расширение возможностей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pPr>
        <w:pStyle w:val="Normal"/>
        <w:ind w:firstLine="709"/>
        <w:jc w:val="both"/>
        <w:rPr/>
      </w:pPr>
      <w:r>
        <w:rPr>
          <w:sz w:val="27"/>
          <w:szCs w:val="27"/>
        </w:rPr>
        <w:t>Для достижения названных целей участникам закупки предоставлено право в порядке, установленном антимонопольным органом, обжаловать действия (бездействие) заказчика при закупке товаров, работ, услуг (</w:t>
      </w:r>
      <w:hyperlink r:id="rId18">
        <w:r>
          <w:rPr>
            <w:rStyle w:val="Style12"/>
            <w:sz w:val="27"/>
            <w:szCs w:val="27"/>
          </w:rPr>
          <w:t>часть 10 статьи 3</w:t>
        </w:r>
      </w:hyperlink>
      <w:r>
        <w:rPr>
          <w:sz w:val="27"/>
          <w:szCs w:val="27"/>
        </w:rPr>
        <w:t xml:space="preserve"> Закона о закупках).</w:t>
      </w:r>
    </w:p>
    <w:p>
      <w:pPr>
        <w:pStyle w:val="Normal"/>
        <w:ind w:firstLine="709"/>
        <w:jc w:val="both"/>
        <w:rPr/>
      </w:pPr>
      <w:r>
        <w:rPr>
          <w:sz w:val="27"/>
          <w:szCs w:val="27"/>
        </w:rPr>
        <w:t xml:space="preserve">Согласно </w:t>
      </w:r>
      <w:hyperlink r:id="rId19">
        <w:r>
          <w:rPr>
            <w:rStyle w:val="Style12"/>
            <w:sz w:val="27"/>
            <w:szCs w:val="27"/>
          </w:rPr>
          <w:t>части 4 статьи 18.1</w:t>
        </w:r>
      </w:hyperlink>
      <w:r>
        <w:rPr>
          <w:sz w:val="27"/>
          <w:szCs w:val="27"/>
        </w:rPr>
        <w:t xml:space="preserve"> Закона о защите конкуренции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названной </w:t>
      </w:r>
      <w:hyperlink r:id="rId20">
        <w:r>
          <w:rPr>
            <w:rStyle w:val="Style12"/>
            <w:sz w:val="27"/>
            <w:szCs w:val="27"/>
          </w:rPr>
          <w:t>статьей</w:t>
        </w:r>
      </w:hyperlink>
      <w:r>
        <w:rPr>
          <w:sz w:val="27"/>
          <w:szCs w:val="27"/>
        </w:rPr>
        <w:t xml:space="preserve">,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названным </w:t>
      </w:r>
      <w:hyperlink r:id="rId21">
        <w:r>
          <w:rPr>
            <w:rStyle w:val="Style12"/>
            <w:sz w:val="27"/>
            <w:szCs w:val="27"/>
          </w:rPr>
          <w:t>Законом</w:t>
        </w:r>
      </w:hyperlink>
      <w:r>
        <w:rPr>
          <w:sz w:val="27"/>
          <w:szCs w:val="27"/>
        </w:rPr>
        <w:t>.</w:t>
      </w:r>
    </w:p>
    <w:p>
      <w:pPr>
        <w:pStyle w:val="Normal"/>
        <w:ind w:firstLine="709"/>
        <w:jc w:val="both"/>
        <w:rPr/>
      </w:pPr>
      <w:hyperlink r:id="rId22">
        <w:r>
          <w:rPr>
            <w:rStyle w:val="Style12"/>
            <w:sz w:val="27"/>
            <w:szCs w:val="27"/>
          </w:rPr>
          <w:t>Частями 18</w:t>
        </w:r>
      </w:hyperlink>
      <w:r>
        <w:rPr>
          <w:sz w:val="27"/>
          <w:szCs w:val="27"/>
        </w:rPr>
        <w:t xml:space="preserve">, </w:t>
      </w:r>
      <w:hyperlink r:id="rId23">
        <w:r>
          <w:rPr>
            <w:rStyle w:val="Style12"/>
            <w:sz w:val="27"/>
            <w:szCs w:val="27"/>
          </w:rPr>
          <w:t>19 статьи 18.1</w:t>
        </w:r>
      </w:hyperlink>
      <w:r>
        <w:rPr>
          <w:sz w:val="27"/>
          <w:szCs w:val="27"/>
        </w:rPr>
        <w:t xml:space="preserve"> Закона о защите конкуренции предусмотрено, что со дня направления уведомления, предусмотренного </w:t>
      </w:r>
      <w:hyperlink r:id="rId24">
        <w:r>
          <w:rPr>
            <w:rStyle w:val="Style12"/>
            <w:sz w:val="27"/>
            <w:szCs w:val="27"/>
          </w:rPr>
          <w:t>частью 11 названной статьи</w:t>
        </w:r>
      </w:hyperlink>
      <w:r>
        <w:rPr>
          <w:sz w:val="27"/>
          <w:szCs w:val="27"/>
        </w:rPr>
        <w:t xml:space="preserve">,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 В случае принятия жалобы к рассмотрению организатор торгов, которому в порядке, установленном </w:t>
      </w:r>
      <w:hyperlink r:id="rId25">
        <w:r>
          <w:rPr>
            <w:rStyle w:val="Style12"/>
            <w:sz w:val="27"/>
            <w:szCs w:val="27"/>
          </w:rPr>
          <w:t>частью 11 названной статьи</w:t>
        </w:r>
      </w:hyperlink>
      <w:r>
        <w:rPr>
          <w:sz w:val="27"/>
          <w:szCs w:val="27"/>
        </w:rPr>
        <w:t>, направлено уведомление, не вправе заключать договор до принятия антимонопольным органом решения по жалобе. Договор, заключенный с нарушением данного требования, является ничтожным.</w:t>
      </w:r>
    </w:p>
    <w:p>
      <w:pPr>
        <w:pStyle w:val="Normal"/>
        <w:ind w:firstLine="709"/>
        <w:jc w:val="both"/>
        <w:rPr>
          <w:b/>
          <w:b/>
          <w:sz w:val="27"/>
          <w:szCs w:val="27"/>
        </w:rPr>
      </w:pPr>
      <w:r>
        <w:rPr>
          <w:b/>
          <w:sz w:val="27"/>
          <w:szCs w:val="27"/>
        </w:rPr>
      </w:r>
    </w:p>
    <w:p>
      <w:pPr>
        <w:pStyle w:val="ListParagraph"/>
        <w:numPr>
          <w:ilvl w:val="0"/>
          <w:numId w:val="2"/>
        </w:numPr>
        <w:tabs>
          <w:tab w:val="left" w:pos="851" w:leader="none"/>
        </w:tabs>
        <w:spacing w:lineRule="auto" w:line="240" w:before="0" w:after="0"/>
        <w:ind w:left="0" w:firstLine="567"/>
        <w:contextualSpacing/>
        <w:jc w:val="both"/>
        <w:rPr>
          <w:rFonts w:ascii="Times New Roman" w:hAnsi="Times New Roman"/>
          <w:b/>
          <w:b/>
          <w:sz w:val="27"/>
          <w:szCs w:val="27"/>
        </w:rPr>
      </w:pPr>
      <w:r>
        <w:rPr>
          <w:rFonts w:ascii="Times New Roman" w:hAnsi="Times New Roman"/>
          <w:b/>
          <w:sz w:val="27"/>
          <w:szCs w:val="27"/>
        </w:rPr>
        <w:t>Положение о закупках и конкурсная документация, утвержденные заказчиком, не содержат в себе необходимых требований к закупке.</w:t>
      </w:r>
    </w:p>
    <w:p>
      <w:pPr>
        <w:pStyle w:val="Normal"/>
        <w:ind w:firstLine="567"/>
        <w:jc w:val="both"/>
        <w:rPr>
          <w:sz w:val="27"/>
          <w:szCs w:val="27"/>
        </w:rPr>
      </w:pPr>
      <w:r>
        <w:rPr>
          <w:sz w:val="27"/>
          <w:szCs w:val="27"/>
        </w:rPr>
        <w:t>Согласно ч. 2 ст. 2 Закона о закупках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pPr>
        <w:pStyle w:val="Normal"/>
        <w:ind w:firstLine="540"/>
        <w:jc w:val="both"/>
        <w:rPr/>
      </w:pPr>
      <w:r>
        <w:rPr>
          <w:bCs/>
          <w:sz w:val="27"/>
          <w:szCs w:val="27"/>
        </w:rPr>
        <w:t xml:space="preserve">В положении нужно предусмотреть подробные требования к составу документации о закупке, установленные </w:t>
      </w:r>
      <w:hyperlink r:id="rId26">
        <w:r>
          <w:rPr>
            <w:rStyle w:val="Style12"/>
            <w:bCs/>
            <w:sz w:val="27"/>
            <w:szCs w:val="27"/>
          </w:rPr>
          <w:t>ч. 10 ст. 4</w:t>
        </w:r>
      </w:hyperlink>
      <w:r>
        <w:rPr>
          <w:bCs/>
          <w:sz w:val="27"/>
          <w:szCs w:val="27"/>
        </w:rPr>
        <w:t xml:space="preserve"> Закона о закупках, требование об указании в ней сведений, необходимых для установления приоритета товаров российского происхождения, а также работ (услуг), выполняемых (оказываемых) российскими лицами, над иностранными товарами (работами, услугами) (</w:t>
      </w:r>
      <w:hyperlink r:id="rId27">
        <w:r>
          <w:rPr>
            <w:rStyle w:val="Style12"/>
            <w:bCs/>
            <w:sz w:val="27"/>
            <w:szCs w:val="27"/>
          </w:rPr>
          <w:t>п. 5</w:t>
        </w:r>
      </w:hyperlink>
      <w:r>
        <w:rPr>
          <w:bCs/>
          <w:sz w:val="27"/>
          <w:szCs w:val="27"/>
        </w:rPr>
        <w:t xml:space="preserve"> Постановления Правительства РФ от 16.09.2016 </w:t>
      </w:r>
      <w:r>
        <w:rPr>
          <w:bCs/>
          <w:sz w:val="27"/>
          <w:szCs w:val="27"/>
        </w:rPr>
        <w:t>№</w:t>
      </w:r>
      <w:r>
        <w:rPr>
          <w:bCs/>
          <w:sz w:val="27"/>
          <w:szCs w:val="27"/>
        </w:rPr>
        <w:t xml:space="preserve"> 925). Предоставить такой приоритет можно, только если эти сведения будут включены в документацию о закупке. Ее состав определяется именно положением о закупке.</w:t>
      </w:r>
    </w:p>
    <w:p>
      <w:pPr>
        <w:pStyle w:val="Normal"/>
        <w:ind w:firstLine="709"/>
        <w:jc w:val="both"/>
        <w:rPr/>
      </w:pPr>
      <w:r>
        <w:rPr>
          <w:sz w:val="27"/>
          <w:szCs w:val="27"/>
        </w:rPr>
        <w:t xml:space="preserve">Кроме того, отсутствие в Положении о закупках и конкурсной документации срока заключения договора по результатам закупки (не ранее десяти дней со дня подведения итогов торгов), учитывающего закрепленной в </w:t>
      </w:r>
      <w:hyperlink r:id="rId28">
        <w:r>
          <w:rPr>
            <w:rStyle w:val="Style12"/>
            <w:sz w:val="27"/>
            <w:szCs w:val="27"/>
          </w:rPr>
          <w:t>Законе</w:t>
        </w:r>
      </w:hyperlink>
      <w:r>
        <w:rPr>
          <w:sz w:val="27"/>
          <w:szCs w:val="27"/>
        </w:rPr>
        <w:t xml:space="preserve"> о закупке и </w:t>
      </w:r>
      <w:hyperlink r:id="rId29">
        <w:r>
          <w:rPr>
            <w:rStyle w:val="Style12"/>
            <w:sz w:val="27"/>
            <w:szCs w:val="27"/>
          </w:rPr>
          <w:t>Законе</w:t>
        </w:r>
      </w:hyperlink>
      <w:r>
        <w:rPr>
          <w:sz w:val="27"/>
          <w:szCs w:val="27"/>
        </w:rPr>
        <w:t xml:space="preserve"> о защите конкуренции процедуры административного контроля со стороны антимонопольного органа, фактически исключает применение оперативных мер, предусмотренных </w:t>
      </w:r>
      <w:hyperlink r:id="rId30">
        <w:r>
          <w:rPr>
            <w:rStyle w:val="Style12"/>
            <w:sz w:val="27"/>
            <w:szCs w:val="27"/>
          </w:rPr>
          <w:t>статьей 18.1</w:t>
        </w:r>
      </w:hyperlink>
      <w:r>
        <w:rPr>
          <w:sz w:val="27"/>
          <w:szCs w:val="27"/>
        </w:rPr>
        <w:t xml:space="preserve"> Закона о защите конкуренции, лишает обращение с соответствующей жалобой какого-либо юридического смысла, а потому направлено против прав участников закупки.</w:t>
      </w:r>
    </w:p>
    <w:p>
      <w:pPr>
        <w:pStyle w:val="Normal"/>
        <w:ind w:firstLine="709"/>
        <w:jc w:val="both"/>
        <w:rPr/>
      </w:pPr>
      <w:r>
        <w:rPr>
          <w:sz w:val="27"/>
          <w:szCs w:val="27"/>
        </w:rPr>
        <w:t xml:space="preserve">Таким образом, в силу требований вышеуказанных положений действующего законодательства разрабатываемое участником закупки Положение о закупках не должно вступать в противоречие с </w:t>
      </w:r>
      <w:hyperlink r:id="rId31">
        <w:r>
          <w:rPr>
            <w:rStyle w:val="Style12"/>
            <w:sz w:val="27"/>
            <w:szCs w:val="27"/>
          </w:rPr>
          <w:t>Законом</w:t>
        </w:r>
      </w:hyperlink>
      <w:r>
        <w:rPr>
          <w:sz w:val="27"/>
          <w:szCs w:val="27"/>
        </w:rPr>
        <w:t xml:space="preserve"> о защите конкуренции в соответствующей части, а напротив, призвано обеспечивать реализацию права на защиту в административном порядке путем установления соответствующего порядка заключения договоров по результатам торгов.</w:t>
      </w:r>
    </w:p>
    <w:p>
      <w:pPr>
        <w:pStyle w:val="Normal"/>
        <w:ind w:firstLine="709"/>
        <w:jc w:val="both"/>
        <w:rPr>
          <w:sz w:val="27"/>
          <w:szCs w:val="27"/>
        </w:rPr>
      </w:pPr>
      <w:r>
        <w:rPr/>
      </w:r>
    </w:p>
    <w:p>
      <w:pPr>
        <w:pStyle w:val="NormalWeb"/>
        <w:widowControl/>
        <w:numPr>
          <w:ilvl w:val="0"/>
          <w:numId w:val="0"/>
        </w:numPr>
        <w:bidi w:val="0"/>
        <w:spacing w:before="0" w:after="0"/>
        <w:ind w:left="700" w:right="0" w:hanging="0"/>
        <w:jc w:val="left"/>
        <w:rPr/>
      </w:pPr>
      <w:r>
        <w:rPr>
          <w:rStyle w:val="Strong"/>
          <w:rFonts w:cs="Times New Roman" w:ascii="Times New Roman" w:hAnsi="Times New Roman"/>
          <w:sz w:val="27"/>
          <w:szCs w:val="27"/>
        </w:rPr>
        <w:t xml:space="preserve">   </w:t>
      </w:r>
      <w:r>
        <w:rPr>
          <w:rStyle w:val="Strong"/>
          <w:rFonts w:cs="Times New Roman" w:ascii="Times New Roman" w:hAnsi="Times New Roman"/>
          <w:sz w:val="27"/>
          <w:szCs w:val="27"/>
        </w:rPr>
        <w:t xml:space="preserve">3. </w:t>
      </w:r>
      <w:r>
        <w:rPr>
          <w:rStyle w:val="Strong"/>
          <w:rFonts w:cs="Times New Roman" w:ascii="Times New Roman" w:hAnsi="Times New Roman"/>
          <w:sz w:val="27"/>
          <w:szCs w:val="27"/>
        </w:rPr>
        <w:t>Нарушения порядка оценки заявок на участие в закупке</w:t>
      </w:r>
    </w:p>
    <w:p>
      <w:pPr>
        <w:pStyle w:val="NormalWeb"/>
        <w:spacing w:before="0" w:after="0"/>
        <w:ind w:firstLine="567"/>
        <w:jc w:val="both"/>
        <w:rPr>
          <w:rFonts w:ascii="Times New Roman" w:hAnsi="Times New Roman" w:cs="Times New Roman"/>
          <w:sz w:val="27"/>
          <w:szCs w:val="27"/>
        </w:rPr>
      </w:pPr>
      <w:r>
        <w:rPr>
          <w:rFonts w:cs="Times New Roman" w:ascii="Times New Roman" w:hAnsi="Times New Roman"/>
          <w:sz w:val="27"/>
          <w:szCs w:val="27"/>
        </w:rPr>
        <w:t>В соответствии с п. 13 ч. 10 ст. 4 Закона о закупках порядок оценки заявок на участие в закупке должен быть указан в закупочной документации. При этом заказчики не ограничены никакими законодательными актами – критерии могут использовать любые, порядок присвоения баллов (значений) для определения победителей также устанавливается на усмотрение заказчика.</w:t>
        <w:br/>
        <w:t xml:space="preserve">При этом даже в такой ситуации свободных действий заказчики нередко нарушают установленный в закупочной документации порядок оценки заявок. </w:t>
      </w:r>
    </w:p>
    <w:p>
      <w:pPr>
        <w:pStyle w:val="NormalWeb"/>
        <w:spacing w:before="0" w:after="0"/>
        <w:ind w:firstLine="567"/>
        <w:jc w:val="both"/>
        <w:rPr>
          <w:rFonts w:ascii="Times New Roman" w:hAnsi="Times New Roman" w:cs="Times New Roman"/>
          <w:sz w:val="27"/>
          <w:szCs w:val="27"/>
        </w:rPr>
      </w:pPr>
      <w:r>
        <w:rPr>
          <w:rFonts w:cs="Times New Roman" w:ascii="Times New Roman" w:hAnsi="Times New Roman"/>
          <w:sz w:val="27"/>
          <w:szCs w:val="27"/>
        </w:rPr>
        <w:t xml:space="preserve">Порядок оценки и сопоставления заявок должен устанавливать не просто наименование критериев и оценку по так называемой предпочтительности предложения участника закупки субъективно для каждого члена комиссии, а должен раскрывать содержание каждого критерия, вес критерия и конкретный порядок оценки (формулы, баллы и т.д). </w:t>
      </w:r>
    </w:p>
    <w:p>
      <w:pPr>
        <w:pStyle w:val="NormalWeb"/>
        <w:spacing w:before="0" w:after="0"/>
        <w:ind w:firstLine="567"/>
        <w:jc w:val="both"/>
        <w:rPr>
          <w:rStyle w:val="Strong"/>
          <w:rFonts w:ascii="Times New Roman" w:hAnsi="Times New Roman" w:cs="Times New Roman"/>
          <w:b w:val="false"/>
          <w:b w:val="false"/>
          <w:sz w:val="27"/>
          <w:szCs w:val="27"/>
        </w:rPr>
      </w:pPr>
      <w:r>
        <w:rPr>
          <w:rFonts w:cs="Times New Roman" w:ascii="Times New Roman" w:hAnsi="Times New Roman"/>
          <w:sz w:val="27"/>
          <w:szCs w:val="27"/>
        </w:rPr>
        <w:t xml:space="preserve">В конкурсной документации необходимо наличие четких и однозначных положений, определяющих механизм начисления баллов. </w:t>
      </w:r>
      <w:r>
        <w:rPr>
          <w:rStyle w:val="Strong"/>
          <w:rFonts w:cs="Times New Roman" w:ascii="Times New Roman" w:hAnsi="Times New Roman"/>
          <w:sz w:val="27"/>
          <w:szCs w:val="27"/>
        </w:rPr>
        <w:t>Наличие неопределенности относительно порядка сопоставления и оценки заявок должно быть расценено как нарушение требований ч.1, 3 ст. 17 Закона о защите конкуренции.</w:t>
      </w:r>
    </w:p>
    <w:p>
      <w:pPr>
        <w:pStyle w:val="Normal"/>
        <w:ind w:firstLine="540"/>
        <w:jc w:val="both"/>
        <w:rPr>
          <w:sz w:val="27"/>
          <w:szCs w:val="27"/>
        </w:rPr>
      </w:pPr>
      <w:r>
        <w:rPr>
          <w:sz w:val="27"/>
          <w:szCs w:val="27"/>
        </w:rPr>
        <w:t>Нарушениями также являются следующие действия:</w:t>
      </w:r>
    </w:p>
    <w:p>
      <w:pPr>
        <w:pStyle w:val="Normal"/>
        <w:ind w:firstLine="540"/>
        <w:jc w:val="both"/>
        <w:rPr>
          <w:sz w:val="27"/>
          <w:szCs w:val="27"/>
        </w:rPr>
      </w:pPr>
      <w:r>
        <w:rPr>
          <w:sz w:val="27"/>
          <w:szCs w:val="27"/>
        </w:rPr>
        <w:t xml:space="preserve">- неустановление порядка расчета баллов, значимости тех или иных критериев и подкритериев, их веса при сопоставлении заявок участников. </w:t>
      </w:r>
    </w:p>
    <w:p>
      <w:pPr>
        <w:pStyle w:val="Normal"/>
        <w:ind w:firstLine="540"/>
        <w:jc w:val="both"/>
        <w:rPr>
          <w:sz w:val="27"/>
          <w:szCs w:val="27"/>
        </w:rPr>
      </w:pPr>
      <w:r>
        <w:rPr>
          <w:sz w:val="27"/>
          <w:szCs w:val="27"/>
        </w:rPr>
        <w:t xml:space="preserve">- установление крайних показателей баллов по критерию, например 0 баллов или 100. Такие действия заказчика лишают участников возможности получения промежуточных баллов, соответствующих их уровню квалификации. </w:t>
      </w:r>
    </w:p>
    <w:p>
      <w:pPr>
        <w:pStyle w:val="Normal"/>
        <w:shd w:val="clear" w:color="auto" w:fill="FFFFFF"/>
        <w:ind w:firstLine="567"/>
        <w:jc w:val="both"/>
        <w:rPr>
          <w:sz w:val="27"/>
          <w:szCs w:val="27"/>
        </w:rPr>
      </w:pPr>
      <w:r>
        <w:rPr>
          <w:sz w:val="27"/>
          <w:szCs w:val="27"/>
        </w:rPr>
        <w:t>Не допускается оценка и сопоставление заявок по критериям и в порядке, не указанном в документации о закупке.</w:t>
      </w:r>
    </w:p>
    <w:p>
      <w:pPr>
        <w:pStyle w:val="Normal"/>
        <w:shd w:val="clear" w:color="auto" w:fill="FFFFFF"/>
        <w:ind w:firstLine="567"/>
        <w:jc w:val="both"/>
        <w:rPr>
          <w:sz w:val="27"/>
          <w:szCs w:val="27"/>
        </w:rPr>
      </w:pPr>
      <w:r>
        <w:rPr>
          <w:sz w:val="27"/>
          <w:szCs w:val="27"/>
        </w:rPr>
        <w:t>Не допускается отклонение заявок по основаниям и в порядке, не указанном в документации о закупке.</w:t>
      </w:r>
    </w:p>
    <w:p>
      <w:pPr>
        <w:pStyle w:val="ListParagraph"/>
        <w:numPr>
          <w:ilvl w:val="0"/>
          <w:numId w:val="0"/>
        </w:numPr>
        <w:spacing w:lineRule="auto" w:line="240"/>
        <w:ind w:left="360" w:hanging="0"/>
        <w:jc w:val="both"/>
        <w:rPr>
          <w:rFonts w:ascii="Times New Roman" w:hAnsi="Times New Roman" w:eastAsia="Calibri"/>
          <w:b/>
          <w:b/>
          <w:iCs/>
          <w:sz w:val="27"/>
          <w:szCs w:val="27"/>
        </w:rPr>
      </w:pPr>
      <w:r>
        <w:rPr>
          <w:rFonts w:eastAsia="Calibri" w:ascii="Times New Roman" w:hAnsi="Times New Roman"/>
          <w:iCs/>
          <w:color w:val="548DD4" w:themeColor="text2" w:themeTint="99"/>
          <w:sz w:val="27"/>
          <w:szCs w:val="27"/>
        </w:rPr>
      </w:r>
    </w:p>
    <w:p>
      <w:pPr>
        <w:pStyle w:val="ListParagraph"/>
        <w:widowControl/>
        <w:numPr>
          <w:ilvl w:val="0"/>
          <w:numId w:val="0"/>
        </w:numPr>
        <w:bidi w:val="0"/>
        <w:spacing w:lineRule="auto" w:line="276" w:before="0" w:after="0"/>
        <w:ind w:left="700" w:right="0" w:hanging="0"/>
        <w:contextualSpacing/>
        <w:jc w:val="both"/>
        <w:rPr/>
      </w:pPr>
      <w:r>
        <w:rPr>
          <w:rFonts w:ascii="Times New Roman" w:hAnsi="Times New Roman"/>
          <w:b/>
          <w:sz w:val="27"/>
          <w:szCs w:val="27"/>
          <w:shd w:fill="FFFFFF" w:val="clear"/>
        </w:rPr>
        <w:t xml:space="preserve">   </w:t>
      </w:r>
      <w:r>
        <w:rPr>
          <w:rFonts w:ascii="Times New Roman" w:hAnsi="Times New Roman"/>
          <w:b/>
          <w:sz w:val="27"/>
          <w:szCs w:val="27"/>
          <w:shd w:fill="FFFFFF" w:val="clear"/>
        </w:rPr>
        <w:t xml:space="preserve">4. </w:t>
      </w:r>
      <w:r>
        <w:rPr>
          <w:rFonts w:ascii="Times New Roman" w:hAnsi="Times New Roman"/>
          <w:b/>
          <w:sz w:val="27"/>
          <w:szCs w:val="27"/>
          <w:shd w:fill="FFFFFF" w:val="clear"/>
        </w:rPr>
        <w:t>Нарушение сроков размещения информации</w:t>
      </w:r>
    </w:p>
    <w:p>
      <w:pPr>
        <w:pStyle w:val="Normal"/>
        <w:shd w:val="clear" w:color="auto" w:fill="FFFFFF"/>
        <w:ind w:firstLine="567"/>
        <w:jc w:val="both"/>
        <w:rPr>
          <w:sz w:val="27"/>
          <w:szCs w:val="27"/>
        </w:rPr>
      </w:pPr>
      <w:r>
        <w:rPr>
          <w:sz w:val="27"/>
          <w:szCs w:val="27"/>
        </w:rPr>
        <w:t>Обеспечение информационной открытости закупочного процесса является одним из основополагающих принципов Федерального закона № 223</w:t>
        <w:noBreakHyphen/>
        <w:t>ФЗ. Поэтому сроки размещения сведений в единой информационной системе достаточно четко регламентированы. Однако заказчики часто нарушают требование о раскрытии той или иной информации, размещая ее с опозданием либо не публикуя вовсе.</w:t>
      </w:r>
    </w:p>
    <w:p>
      <w:pPr>
        <w:pStyle w:val="Normal"/>
        <w:shd w:val="clear" w:color="auto" w:fill="FFFFFF"/>
        <w:tabs>
          <w:tab w:val="left" w:pos="851" w:leader="none"/>
        </w:tabs>
        <w:ind w:firstLine="567"/>
        <w:jc w:val="both"/>
        <w:rPr>
          <w:sz w:val="27"/>
          <w:szCs w:val="27"/>
        </w:rPr>
      </w:pPr>
      <w:r>
        <w:rPr>
          <w:sz w:val="27"/>
          <w:szCs w:val="27"/>
        </w:rPr>
        <w:t>Помимо своевременной публикации положения о закупке и его изменений, а также планов закупки заказчикам следует знать:</w:t>
      </w:r>
    </w:p>
    <w:p>
      <w:pPr>
        <w:pStyle w:val="Normal"/>
        <w:shd w:val="clear" w:color="auto" w:fill="FFFFFF"/>
        <w:tabs>
          <w:tab w:val="left" w:pos="851" w:leader="none"/>
        </w:tabs>
        <w:ind w:firstLine="567"/>
        <w:jc w:val="both"/>
        <w:rPr>
          <w:sz w:val="27"/>
          <w:szCs w:val="27"/>
        </w:rPr>
      </w:pPr>
      <w:r>
        <w:rPr>
          <w:sz w:val="27"/>
          <w:szCs w:val="27"/>
        </w:rPr>
        <w:t>Информация должна быть размещена именно в единой информационной системе, а, например, не на сайте заказчика или электронной торговой площадке, на которой производится закупка.  Не только извещение и конкурсную документацию, но и изменения в конкурсную документацию, разъяснения данной документации, а также все протоколы, составленные в ходе закупки. Иначе произойдет нарушение действующего законодательства и как следствие аннулирование торгов.</w:t>
      </w:r>
    </w:p>
    <w:p>
      <w:pPr>
        <w:pStyle w:val="Normal"/>
        <w:shd w:val="clear" w:color="auto" w:fill="FFFFFF"/>
        <w:ind w:right="225" w:firstLine="567"/>
        <w:jc w:val="both"/>
        <w:rPr>
          <w:sz w:val="27"/>
          <w:szCs w:val="27"/>
        </w:rPr>
      </w:pPr>
      <w:r>
        <w:rPr>
          <w:sz w:val="27"/>
          <w:szCs w:val="27"/>
        </w:rPr>
        <w:t xml:space="preserve"> </w:t>
      </w:r>
      <w:r>
        <w:rPr>
          <w:sz w:val="27"/>
          <w:szCs w:val="27"/>
        </w:rPr>
        <w:t>Сведения о заключенных договорах должны раскрываться в полном объеме. Согласно п. 19 ст. 4 Закона о закупках заказчику не позднее 10-го числа месяца, следующего за отчетным, необходимо разместить информацию о количестве и общей стоимости договоров, заключенных:</w:t>
      </w:r>
    </w:p>
    <w:p>
      <w:pPr>
        <w:pStyle w:val="Normal"/>
        <w:shd w:val="clear" w:color="auto" w:fill="FFFFFF"/>
        <w:ind w:right="225" w:firstLine="567"/>
        <w:jc w:val="both"/>
        <w:rPr>
          <w:sz w:val="27"/>
          <w:szCs w:val="27"/>
        </w:rPr>
      </w:pPr>
      <w:r>
        <w:rPr>
          <w:sz w:val="27"/>
          <w:szCs w:val="27"/>
        </w:rPr>
        <w:t>- по результатам закупки товаров, работ, услуг;</w:t>
      </w:r>
    </w:p>
    <w:p>
      <w:pPr>
        <w:pStyle w:val="Normal"/>
        <w:shd w:val="clear" w:color="auto" w:fill="FFFFFF"/>
        <w:ind w:right="225" w:firstLine="567"/>
        <w:jc w:val="both"/>
        <w:rPr>
          <w:sz w:val="27"/>
          <w:szCs w:val="27"/>
        </w:rPr>
      </w:pPr>
      <w:r>
        <w:rPr>
          <w:sz w:val="27"/>
          <w:szCs w:val="27"/>
        </w:rPr>
        <w:t>- по результатам закупки у единственного поставщика (исполнителя, подрядчика);</w:t>
      </w:r>
    </w:p>
    <w:p>
      <w:pPr>
        <w:pStyle w:val="Normal"/>
        <w:shd w:val="clear" w:color="auto" w:fill="FFFFFF"/>
        <w:ind w:right="225" w:firstLine="567"/>
        <w:jc w:val="both"/>
        <w:rPr>
          <w:sz w:val="27"/>
          <w:szCs w:val="27"/>
        </w:rPr>
      </w:pPr>
      <w:r>
        <w:rPr>
          <w:sz w:val="27"/>
          <w:szCs w:val="27"/>
        </w:rPr>
        <w:t>- по результатам закупки, сведения о которой составляют государственную тайну или в отношении которой Правительство РФ приняло решение о неразмещении информации на официальном сайте;</w:t>
      </w:r>
    </w:p>
    <w:p>
      <w:pPr>
        <w:pStyle w:val="Normal"/>
        <w:shd w:val="clear" w:color="auto" w:fill="FFFFFF"/>
        <w:ind w:right="225" w:firstLine="567"/>
        <w:jc w:val="both"/>
        <w:rPr>
          <w:sz w:val="27"/>
          <w:szCs w:val="27"/>
        </w:rPr>
      </w:pPr>
      <w:r>
        <w:rPr>
          <w:sz w:val="27"/>
          <w:szCs w:val="27"/>
        </w:rPr>
        <w:t>- по результатам закупки у субъектов малого и среднего бизнеса.</w:t>
      </w:r>
    </w:p>
    <w:p>
      <w:pPr>
        <w:pStyle w:val="Normal"/>
        <w:ind w:firstLine="270"/>
        <w:rPr>
          <w:sz w:val="27"/>
          <w:szCs w:val="27"/>
        </w:rPr>
      </w:pPr>
      <w:r>
        <w:rPr>
          <w:sz w:val="27"/>
          <w:szCs w:val="27"/>
        </w:rPr>
        <w:t>Не обеспечение размещения информации может привести к ограничению числа участников закупки и нарушению прав лиц, которые желали подать заявку на участие в закупке, но в силу несвоевременного или неполного размещения информации о такой закупке, не смогли этого сделать.</w:t>
      </w:r>
    </w:p>
    <w:p>
      <w:pPr>
        <w:pStyle w:val="Normal"/>
        <w:ind w:firstLine="709"/>
        <w:jc w:val="both"/>
        <w:rPr>
          <w:rFonts w:eastAsia="Calibri"/>
          <w:sz w:val="27"/>
          <w:szCs w:val="27"/>
        </w:rPr>
      </w:pPr>
      <w:r>
        <w:rPr>
          <w:rFonts w:eastAsia="Calibri"/>
          <w:sz w:val="27"/>
          <w:szCs w:val="27"/>
        </w:rPr>
      </w:r>
    </w:p>
    <w:p>
      <w:pPr>
        <w:pStyle w:val="Normal"/>
        <w:ind w:firstLine="540"/>
        <w:jc w:val="both"/>
        <w:rPr/>
      </w:pPr>
      <w:r>
        <w:rPr>
          <w:sz w:val="27"/>
          <w:szCs w:val="27"/>
        </w:rPr>
        <w:t xml:space="preserve">При проведении закупок также следует учитывать требования  статьи 17 Закона о защите конкуренции, согласно которой запрещаются действия, которые приводят или могут привести к недопущению, ограничению или устранению конкуренции.  В частности в </w:t>
      </w:r>
      <w:hyperlink r:id="rId32">
        <w:r>
          <w:rPr>
            <w:rStyle w:val="Style12"/>
            <w:color w:val="0000FF"/>
            <w:sz w:val="27"/>
            <w:szCs w:val="27"/>
          </w:rPr>
          <w:t>п. п. 1</w:t>
        </w:r>
      </w:hyperlink>
      <w:r>
        <w:rPr>
          <w:sz w:val="27"/>
          <w:szCs w:val="27"/>
        </w:rPr>
        <w:t xml:space="preserve"> - </w:t>
      </w:r>
      <w:hyperlink r:id="rId33">
        <w:r>
          <w:rPr>
            <w:rStyle w:val="Style12"/>
            <w:color w:val="0000FF"/>
            <w:sz w:val="27"/>
            <w:szCs w:val="27"/>
          </w:rPr>
          <w:t>3 ч. 1 ст. 17</w:t>
        </w:r>
      </w:hyperlink>
      <w:r>
        <w:rPr>
          <w:sz w:val="27"/>
          <w:szCs w:val="27"/>
        </w:rPr>
        <w:t xml:space="preserve"> названного Закона установлены запреты на осуществление организатором закупки или заказчиком следующих действий:</w:t>
      </w:r>
    </w:p>
    <w:p>
      <w:pPr>
        <w:pStyle w:val="Normal"/>
        <w:ind w:firstLine="540"/>
        <w:jc w:val="both"/>
        <w:rPr>
          <w:sz w:val="27"/>
          <w:szCs w:val="27"/>
        </w:rPr>
      </w:pPr>
      <w:r>
        <w:rPr>
          <w:sz w:val="27"/>
          <w:szCs w:val="27"/>
        </w:rPr>
        <w:t>- координация деятельности участников закупки, а также заключение соглашений между заказчиками и участниками торгов;</w:t>
      </w:r>
    </w:p>
    <w:p>
      <w:pPr>
        <w:pStyle w:val="Normal"/>
        <w:ind w:firstLine="540"/>
        <w:jc w:val="both"/>
        <w:rPr>
          <w:sz w:val="27"/>
          <w:szCs w:val="27"/>
        </w:rPr>
      </w:pPr>
      <w:r>
        <w:rPr>
          <w:sz w:val="27"/>
          <w:szCs w:val="27"/>
        </w:rPr>
        <w:t>- создание преимущественных условий участия в закупке для отдельных ее участников (в том числе путем открытия доступа к информации);</w:t>
      </w:r>
    </w:p>
    <w:p>
      <w:pPr>
        <w:pStyle w:val="Normal"/>
        <w:ind w:firstLine="540"/>
        <w:jc w:val="both"/>
        <w:rPr/>
      </w:pPr>
      <w:r>
        <w:rPr>
          <w:sz w:val="27"/>
          <w:szCs w:val="27"/>
        </w:rPr>
        <w:t>- нарушение порядка определения победителя закупки.</w:t>
      </w:r>
    </w:p>
    <w:p>
      <w:pPr>
        <w:pStyle w:val="Normal"/>
        <w:tabs>
          <w:tab w:val="left" w:pos="851" w:leader="none"/>
        </w:tabs>
        <w:ind w:firstLine="567"/>
        <w:jc w:val="both"/>
        <w:rPr/>
      </w:pPr>
      <w:r>
        <w:rPr>
          <w:rFonts w:eastAsia="SimSun"/>
          <w:sz w:val="27"/>
          <w:szCs w:val="27"/>
          <w:lang w:eastAsia="zh-CN" w:bidi="hi-IN"/>
        </w:rPr>
        <w:t xml:space="preserve">   </w:t>
      </w:r>
      <w:r>
        <w:rPr>
          <w:sz w:val="27"/>
          <w:szCs w:val="27"/>
        </w:rPr>
        <w:t xml:space="preserve">Исходя из анализа всех нарушений, допущенных заказчиками, следует, что основными причинами таких нарушений, является, прежде всего субъективный фактор - это слабое знание исполнителями  положений  Закона о закупках,  недооценка  важности и значимости  безусловного  выполнения всех  предусмотренных Законом процедур  для  соблюдения  прав  участников закупочной деятельности.  </w:t>
      </w:r>
    </w:p>
    <w:p>
      <w:pPr>
        <w:pStyle w:val="Normal"/>
        <w:numPr>
          <w:ilvl w:val="0"/>
          <w:numId w:val="0"/>
        </w:numPr>
        <w:ind w:firstLine="540"/>
        <w:jc w:val="both"/>
        <w:outlineLvl w:val="0"/>
        <w:rPr>
          <w:sz w:val="26"/>
          <w:szCs w:val="26"/>
        </w:rPr>
      </w:pPr>
      <w:r>
        <w:rPr>
          <w:sz w:val="27"/>
          <w:szCs w:val="27"/>
        </w:rPr>
        <w:t>За совершение нарушений</w:t>
      </w:r>
      <w:r>
        <w:rPr/>
        <w:t xml:space="preserve"> </w:t>
      </w:r>
      <w:r>
        <w:rPr>
          <w:sz w:val="26"/>
          <w:szCs w:val="26"/>
        </w:rPr>
        <w:t>порядка</w:t>
      </w:r>
      <w:bookmarkStart w:id="0" w:name="_GoBack"/>
      <w:bookmarkEnd w:id="0"/>
      <w:r>
        <w:rPr>
          <w:sz w:val="26"/>
          <w:szCs w:val="26"/>
        </w:rPr>
        <w:t xml:space="preserve"> осуществления закупки товаров, работ, услуг отдельными видами юридических лиц статьей 7.32.3 Кодекса об административных правонарушениях предусмотрена административная ответственность. </w:t>
      </w:r>
    </w:p>
    <w:p>
      <w:pPr>
        <w:pStyle w:val="Normal"/>
        <w:shd w:val="clear" w:color="auto" w:fill="FFFFFF"/>
        <w:spacing w:lineRule="atLeast" w:line="285"/>
        <w:ind w:firstLine="567"/>
        <w:jc w:val="both"/>
        <w:textAlignment w:val="baseline"/>
        <w:rPr/>
      </w:pPr>
      <w:r>
        <w:rPr>
          <w:bCs/>
          <w:iCs/>
          <w:sz w:val="26"/>
          <w:szCs w:val="26"/>
        </w:rPr>
        <w:t xml:space="preserve">Всего за 2016 год за нарушение законодательства </w:t>
      </w:r>
      <w:r>
        <w:rPr>
          <w:bCs/>
          <w:iCs/>
          <w:sz w:val="26"/>
          <w:szCs w:val="26"/>
        </w:rPr>
        <w:t>о З</w:t>
      </w:r>
      <w:r>
        <w:rPr>
          <w:bCs/>
          <w:iCs/>
          <w:sz w:val="26"/>
          <w:szCs w:val="26"/>
        </w:rPr>
        <w:t>акупка</w:t>
      </w:r>
      <w:r>
        <w:rPr>
          <w:bCs/>
          <w:iCs/>
          <w:sz w:val="26"/>
          <w:szCs w:val="26"/>
        </w:rPr>
        <w:t>х</w:t>
      </w:r>
      <w:r>
        <w:rPr>
          <w:bCs/>
          <w:iCs/>
          <w:sz w:val="26"/>
          <w:szCs w:val="26"/>
        </w:rPr>
        <w:t xml:space="preserve"> </w:t>
      </w:r>
      <w:r>
        <w:rPr>
          <w:bCs/>
          <w:iCs/>
          <w:sz w:val="26"/>
          <w:szCs w:val="26"/>
        </w:rPr>
        <w:t xml:space="preserve">возбуждено и </w:t>
      </w:r>
      <w:r>
        <w:rPr>
          <w:bCs/>
          <w:iCs/>
          <w:sz w:val="26"/>
          <w:szCs w:val="26"/>
        </w:rPr>
        <w:t xml:space="preserve">рассмотрено </w:t>
      </w:r>
      <w:r>
        <w:rPr>
          <w:bCs/>
          <w:iCs/>
          <w:sz w:val="26"/>
          <w:szCs w:val="26"/>
        </w:rPr>
        <w:t>45</w:t>
      </w:r>
      <w:r>
        <w:rPr>
          <w:bCs/>
          <w:iCs/>
          <w:sz w:val="26"/>
          <w:szCs w:val="26"/>
        </w:rPr>
        <w:t xml:space="preserve"> административных дел, наложено штрафов на сумму </w:t>
      </w:r>
      <w:r>
        <w:rPr>
          <w:bCs/>
          <w:iCs/>
          <w:sz w:val="26"/>
          <w:szCs w:val="26"/>
        </w:rPr>
        <w:t>1 191 000</w:t>
      </w:r>
      <w:r>
        <w:rPr>
          <w:bCs/>
          <w:iCs/>
          <w:sz w:val="26"/>
          <w:szCs w:val="26"/>
        </w:rPr>
        <w:t xml:space="preserve"> </w:t>
      </w:r>
      <w:r>
        <w:rPr>
          <w:bCs/>
          <w:iCs/>
          <w:sz w:val="26"/>
          <w:szCs w:val="26"/>
        </w:rPr>
        <w:t xml:space="preserve">млн. </w:t>
      </w:r>
      <w:r>
        <w:rPr>
          <w:bCs/>
          <w:iCs/>
          <w:sz w:val="26"/>
          <w:szCs w:val="26"/>
        </w:rPr>
        <w:t>руб.</w:t>
      </w:r>
    </w:p>
    <w:p>
      <w:pPr>
        <w:pStyle w:val="Normal"/>
        <w:numPr>
          <w:ilvl w:val="0"/>
          <w:numId w:val="0"/>
        </w:numPr>
        <w:ind w:firstLine="540"/>
        <w:jc w:val="center"/>
        <w:outlineLvl w:val="0"/>
        <w:rPr>
          <w:b/>
          <w:b/>
          <w:bCs/>
          <w:sz w:val="26"/>
          <w:szCs w:val="26"/>
          <w:lang w:val="en-US"/>
        </w:rPr>
      </w:pPr>
      <w:r>
        <w:rPr>
          <w:b/>
          <w:bCs/>
          <w:sz w:val="26"/>
          <w:szCs w:val="26"/>
          <w:lang w:val="en-US"/>
        </w:rPr>
        <w:t>IV.</w:t>
      </w:r>
    </w:p>
    <w:p>
      <w:pPr>
        <w:pStyle w:val="ListParagraph"/>
        <w:numPr>
          <w:ilvl w:val="0"/>
          <w:numId w:val="0"/>
        </w:numPr>
        <w:tabs>
          <w:tab w:val="left" w:pos="851" w:leader="none"/>
        </w:tabs>
        <w:ind w:left="1620" w:hanging="0"/>
        <w:jc w:val="both"/>
        <w:rPr>
          <w:b/>
          <w:b/>
          <w:bCs/>
        </w:rPr>
      </w:pPr>
      <w:r>
        <w:rPr>
          <w:rFonts w:ascii="Times New Roman" w:hAnsi="Times New Roman"/>
          <w:b/>
          <w:bCs/>
          <w:sz w:val="27"/>
          <w:szCs w:val="27"/>
          <w:u w:val="none"/>
        </w:rPr>
        <w:t xml:space="preserve">    </w:t>
      </w:r>
      <w:r>
        <w:rPr>
          <w:rFonts w:ascii="Times New Roman" w:hAnsi="Times New Roman"/>
          <w:b/>
          <w:bCs/>
          <w:sz w:val="27"/>
          <w:szCs w:val="27"/>
          <w:u w:val="single"/>
        </w:rPr>
        <w:t>Антиконкурентные соглашения между органами власти и хозяйствующим субъектами</w:t>
      </w:r>
    </w:p>
    <w:p>
      <w:pPr>
        <w:pStyle w:val="ListParagraph"/>
        <w:tabs>
          <w:tab w:val="left" w:pos="851" w:leader="none"/>
        </w:tabs>
        <w:ind w:left="0" w:firstLine="567"/>
        <w:jc w:val="both"/>
        <w:rPr>
          <w:rFonts w:ascii="Times New Roman" w:hAnsi="Times New Roman"/>
          <w:sz w:val="27"/>
          <w:szCs w:val="27"/>
          <w:u w:val="single"/>
        </w:rPr>
      </w:pPr>
      <w:r>
        <w:rPr>
          <w:b/>
          <w:bCs/>
        </w:rPr>
      </w:r>
    </w:p>
    <w:p>
      <w:pPr>
        <w:pStyle w:val="ListParagraph"/>
        <w:tabs>
          <w:tab w:val="left" w:pos="563" w:leader="none"/>
          <w:tab w:val="left" w:pos="851" w:leader="none"/>
        </w:tabs>
        <w:bidi w:val="0"/>
        <w:spacing w:lineRule="auto" w:line="240" w:before="0" w:after="0"/>
        <w:ind w:left="0" w:hanging="0"/>
        <w:contextualSpacing/>
        <w:jc w:val="both"/>
        <w:rPr>
          <w:b w:val="false"/>
          <w:b w:val="false"/>
          <w:bCs w:val="false"/>
          <w:u w:val="none"/>
        </w:rPr>
      </w:pPr>
      <w:r>
        <w:rPr>
          <w:rFonts w:ascii="Times New Roman" w:hAnsi="Times New Roman"/>
          <w:b w:val="false"/>
          <w:bCs w:val="false"/>
          <w:sz w:val="27"/>
          <w:szCs w:val="27"/>
          <w:u w:val="none"/>
        </w:rPr>
        <w:t xml:space="preserve">     </w:t>
      </w:r>
      <w:r>
        <w:rPr>
          <w:rFonts w:ascii="Times New Roman" w:hAnsi="Times New Roman"/>
          <w:b w:val="false"/>
          <w:bCs w:val="false"/>
          <w:i w:val="false"/>
          <w:iCs w:val="false"/>
          <w:sz w:val="27"/>
          <w:szCs w:val="27"/>
          <w:u w:val="none"/>
        </w:rPr>
        <w:t xml:space="preserve"> </w:t>
      </w:r>
      <w:r>
        <w:rPr>
          <w:rFonts w:ascii="Times New Roman" w:hAnsi="Times New Roman"/>
          <w:b w:val="false"/>
          <w:bCs w:val="false"/>
          <w:i w:val="false"/>
          <w:iCs w:val="false"/>
          <w:sz w:val="27"/>
          <w:szCs w:val="27"/>
          <w:u w:val="none"/>
        </w:rPr>
        <w:t>Статьей 16 Закона о защите конкуренции установлен запрет  на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w:t>
      </w:r>
    </w:p>
    <w:p>
      <w:pPr>
        <w:pStyle w:val="ListParagraph"/>
        <w:tabs>
          <w:tab w:val="left" w:pos="563" w:leader="none"/>
          <w:tab w:val="left" w:pos="851" w:leader="none"/>
        </w:tabs>
        <w:bidi w:val="0"/>
        <w:spacing w:lineRule="auto" w:line="240" w:before="0" w:after="0"/>
        <w:ind w:left="0" w:hanging="0"/>
        <w:contextualSpacing/>
        <w:jc w:val="both"/>
        <w:rPr>
          <w:b w:val="false"/>
          <w:b w:val="false"/>
          <w:bCs w:val="false"/>
          <w:i w:val="false"/>
          <w:i w:val="false"/>
          <w:iCs w:val="false"/>
          <w:u w:val="none"/>
        </w:rPr>
      </w:pPr>
      <w:r>
        <w:rPr>
          <w:rFonts w:ascii="Times New Roman" w:hAnsi="Times New Roman"/>
          <w:b w:val="false"/>
          <w:bCs w:val="false"/>
          <w:i w:val="false"/>
          <w:iCs w:val="false"/>
          <w:sz w:val="27"/>
          <w:szCs w:val="27"/>
          <w:u w:val="none"/>
        </w:rPr>
        <w:t xml:space="preserve">      </w:t>
      </w:r>
      <w:r>
        <w:rPr>
          <w:rFonts w:ascii="Times New Roman" w:hAnsi="Times New Roman"/>
          <w:b w:val="false"/>
          <w:bCs w:val="false"/>
          <w:i w:val="false"/>
          <w:iCs w:val="false"/>
          <w:sz w:val="27"/>
          <w:szCs w:val="27"/>
          <w:u w:val="none"/>
        </w:rPr>
        <w:t xml:space="preserve">В 2016 году Ханты-Мансийским УФАС России выявлено 2 нарушения статьи 16 Закона о защите конкуренции (в 2015 — 4). </w:t>
      </w:r>
    </w:p>
    <w:p>
      <w:pPr>
        <w:pStyle w:val="ListParagraph"/>
        <w:tabs>
          <w:tab w:val="left" w:pos="563" w:leader="none"/>
          <w:tab w:val="left" w:pos="851" w:leader="none"/>
        </w:tabs>
        <w:bidi w:val="0"/>
        <w:spacing w:lineRule="auto" w:line="240" w:before="0" w:after="0"/>
        <w:ind w:left="0" w:hanging="0"/>
        <w:contextualSpacing/>
        <w:jc w:val="both"/>
        <w:rPr>
          <w:b w:val="false"/>
          <w:b w:val="false"/>
          <w:bCs w:val="false"/>
          <w:i w:val="false"/>
          <w:i w:val="false"/>
          <w:iCs w:val="false"/>
          <w:u w:val="none"/>
        </w:rPr>
      </w:pPr>
      <w:r>
        <w:rPr>
          <w:rFonts w:ascii="Times New Roman" w:hAnsi="Times New Roman"/>
          <w:b w:val="false"/>
          <w:bCs w:val="false"/>
          <w:i w:val="false"/>
          <w:iCs w:val="false"/>
          <w:sz w:val="27"/>
          <w:szCs w:val="27"/>
          <w:u w:val="none"/>
        </w:rPr>
        <w:t xml:space="preserve">  </w:t>
      </w:r>
      <w:r>
        <w:rPr>
          <w:rFonts w:ascii="Times New Roman" w:hAnsi="Times New Roman"/>
          <w:b w:val="false"/>
          <w:bCs w:val="false"/>
          <w:i w:val="false"/>
          <w:iCs w:val="false"/>
          <w:sz w:val="27"/>
          <w:szCs w:val="27"/>
          <w:u w:val="none"/>
        </w:rPr>
        <w:t xml:space="preserve">В 2016 году все нарушения выявлены на рынке пассажирских перевозок автомобильным транспортом. </w:t>
      </w:r>
    </w:p>
    <w:p>
      <w:pPr>
        <w:pStyle w:val="ListParagraph"/>
        <w:tabs>
          <w:tab w:val="left" w:pos="563" w:leader="none"/>
          <w:tab w:val="left" w:pos="851" w:leader="none"/>
        </w:tabs>
        <w:bidi w:val="0"/>
        <w:spacing w:lineRule="auto" w:line="240" w:before="0" w:after="0"/>
        <w:ind w:left="0" w:hanging="0"/>
        <w:contextualSpacing/>
        <w:jc w:val="both"/>
        <w:rPr>
          <w:i/>
          <w:i/>
          <w:iCs/>
        </w:rPr>
      </w:pPr>
      <w:r>
        <w:rPr>
          <w:rFonts w:ascii="Times New Roman" w:hAnsi="Times New Roman"/>
          <w:b w:val="false"/>
          <w:bCs w:val="false"/>
          <w:i/>
          <w:iCs/>
          <w:sz w:val="27"/>
          <w:szCs w:val="27"/>
          <w:u w:val="none"/>
        </w:rPr>
        <w:t xml:space="preserve">  </w:t>
      </w:r>
      <w:r>
        <w:rPr>
          <w:rFonts w:ascii="Times New Roman" w:hAnsi="Times New Roman"/>
          <w:b w:val="false"/>
          <w:bCs w:val="false"/>
          <w:i/>
          <w:iCs/>
          <w:sz w:val="27"/>
          <w:szCs w:val="27"/>
          <w:u w:val="none"/>
        </w:rPr>
        <w:t xml:space="preserve">Например: Администрация муниципального района заключила с хозяйствующими субъектами договоры </w:t>
      </w:r>
      <w:r>
        <w:rPr>
          <w:rFonts w:ascii="Times New Roman;serif" w:hAnsi="Times New Roman;serif"/>
          <w:i/>
          <w:iCs/>
          <w:sz w:val="28"/>
          <w:szCs w:val="27"/>
        </w:rPr>
        <w:t>перевозки с предоставлением субсидии, без проведения конкурсного отбора, порядок проведения которого был установлен нормативным актом Администрации.</w:t>
      </w:r>
      <w:r>
        <w:rPr>
          <w:rFonts w:ascii="Times New Roman" w:hAnsi="Times New Roman"/>
          <w:i/>
          <w:iCs/>
          <w:sz w:val="27"/>
          <w:szCs w:val="27"/>
        </w:rPr>
        <w:t xml:space="preserve"> </w:t>
      </w:r>
    </w:p>
    <w:p>
      <w:pPr>
        <w:pStyle w:val="ListParagraph"/>
        <w:tabs>
          <w:tab w:val="left" w:pos="563" w:leader="none"/>
          <w:tab w:val="left" w:pos="851" w:leader="none"/>
        </w:tabs>
        <w:bidi w:val="0"/>
        <w:spacing w:lineRule="auto" w:line="240" w:before="0" w:after="0"/>
        <w:ind w:left="0" w:hanging="0"/>
        <w:contextualSpacing/>
        <w:jc w:val="both"/>
        <w:rPr>
          <w:i/>
          <w:i/>
          <w:iCs/>
        </w:rPr>
      </w:pPr>
      <w:r>
        <w:rPr>
          <w:rFonts w:ascii="Times New Roman" w:hAnsi="Times New Roman"/>
          <w:b w:val="false"/>
          <w:bCs w:val="false"/>
          <w:i/>
          <w:iCs/>
          <w:sz w:val="27"/>
          <w:szCs w:val="27"/>
          <w:u w:val="none"/>
        </w:rPr>
        <w:t xml:space="preserve">        </w:t>
      </w:r>
      <w:r>
        <w:rPr>
          <w:rFonts w:ascii="Times New Roman" w:hAnsi="Times New Roman"/>
          <w:b w:val="false"/>
          <w:bCs w:val="false"/>
          <w:i/>
          <w:iCs/>
          <w:sz w:val="27"/>
          <w:szCs w:val="27"/>
          <w:u w:val="none"/>
        </w:rPr>
        <w:t xml:space="preserve">Антимонопольным органом было установлено, что на момент заключения договоров, на территории муниципального района действовал нормативный акт, регламентирующий порядок осуществления пассажирских перевозок автомобильным транспортом и обязывающий проводить конкурсные процедуры по отбору перевозчиков. Однако игнорируя требования нормативного акта Администрация и хозяйствующие субъекты заключили договоры без проведения обязательных конкурсных процедур, тем самым вступив в антиконкурентное соглашение.  </w:t>
      </w:r>
    </w:p>
    <w:p>
      <w:pPr>
        <w:pStyle w:val="ListParagraph"/>
        <w:tabs>
          <w:tab w:val="left" w:pos="563" w:leader="none"/>
          <w:tab w:val="left" w:pos="851" w:leader="none"/>
        </w:tabs>
        <w:bidi w:val="0"/>
        <w:spacing w:lineRule="auto" w:line="240" w:before="0" w:after="0"/>
        <w:ind w:left="0" w:hanging="0"/>
        <w:contextualSpacing/>
        <w:jc w:val="both"/>
        <w:rPr>
          <w:i/>
          <w:i/>
          <w:iCs/>
        </w:rPr>
      </w:pPr>
      <w:r>
        <w:rPr>
          <w:rFonts w:ascii="Times New Roman" w:hAnsi="Times New Roman"/>
          <w:b w:val="false"/>
          <w:bCs w:val="false"/>
          <w:i/>
          <w:iCs/>
          <w:sz w:val="27"/>
          <w:szCs w:val="27"/>
          <w:u w:val="none"/>
        </w:rPr>
        <w:t xml:space="preserve">         </w:t>
      </w:r>
    </w:p>
    <w:p>
      <w:pPr>
        <w:pStyle w:val="ListParagraph"/>
        <w:tabs>
          <w:tab w:val="left" w:pos="563" w:leader="none"/>
          <w:tab w:val="left" w:pos="851" w:leader="none"/>
        </w:tabs>
        <w:bidi w:val="0"/>
        <w:spacing w:lineRule="auto" w:line="240" w:before="0" w:after="0"/>
        <w:ind w:left="0" w:hanging="0"/>
        <w:contextualSpacing/>
        <w:jc w:val="both"/>
        <w:rPr>
          <w:i/>
          <w:i/>
          <w:iCs/>
        </w:rPr>
      </w:pPr>
      <w:r>
        <w:rPr>
          <w:rFonts w:ascii="Times New Roman" w:hAnsi="Times New Roman"/>
          <w:b w:val="false"/>
          <w:bCs w:val="false"/>
          <w:i/>
          <w:iCs/>
          <w:sz w:val="27"/>
          <w:szCs w:val="27"/>
          <w:u w:val="none"/>
        </w:rPr>
        <w:t xml:space="preserve">     </w:t>
      </w:r>
      <w:r>
        <w:rPr>
          <w:rFonts w:ascii="Times New Roman" w:hAnsi="Times New Roman"/>
          <w:i/>
          <w:iCs/>
          <w:sz w:val="28"/>
          <w:szCs w:val="27"/>
        </w:rPr>
        <w:t xml:space="preserve">По итогам рассмотрения дел, действия Администрации </w:t>
      </w:r>
      <w:r>
        <w:rPr>
          <w:rFonts w:ascii="Times New Roman" w:hAnsi="Times New Roman"/>
          <w:b w:val="false"/>
          <w:bCs w:val="false"/>
          <w:i/>
          <w:iCs/>
          <w:sz w:val="27"/>
          <w:szCs w:val="27"/>
          <w:u w:val="none"/>
        </w:rPr>
        <w:t>муниципального района</w:t>
      </w:r>
      <w:r>
        <w:rPr>
          <w:rFonts w:ascii="Times New Roman" w:hAnsi="Times New Roman"/>
          <w:i/>
          <w:iCs/>
          <w:sz w:val="28"/>
          <w:szCs w:val="27"/>
        </w:rPr>
        <w:t xml:space="preserve"> </w:t>
      </w:r>
      <w:r>
        <w:rPr>
          <w:rFonts w:ascii="Times New Roman" w:hAnsi="Times New Roman"/>
          <w:i/>
          <w:iCs/>
          <w:sz w:val="28"/>
          <w:szCs w:val="27"/>
        </w:rPr>
        <w:t xml:space="preserve">и хозяйствующих субъектов </w:t>
      </w:r>
      <w:r>
        <w:rPr>
          <w:rFonts w:ascii="Times New Roman" w:hAnsi="Times New Roman"/>
          <w:i/>
          <w:iCs/>
          <w:sz w:val="28"/>
          <w:szCs w:val="27"/>
        </w:rPr>
        <w:t>признаны нарушающими пункт 4 статьи 16 Закона о защите конкуренции, что выразилось в заключении антиконкурентного соглашения, которое обеспечило возможность незаконно осуществлять хозяйствующим субъектам деятельность по перевозке пассажиров, путем заключения договоров перевозки с предоставлением субсидий без проведения конкурентного отбора.</w:t>
      </w:r>
    </w:p>
    <w:p>
      <w:pPr>
        <w:pStyle w:val="ListParagraph"/>
        <w:tabs>
          <w:tab w:val="left" w:pos="563" w:leader="none"/>
          <w:tab w:val="left" w:pos="851" w:leader="none"/>
        </w:tabs>
        <w:bidi w:val="0"/>
        <w:spacing w:lineRule="auto" w:line="240" w:before="0" w:after="0"/>
        <w:ind w:left="0" w:hanging="0"/>
        <w:jc w:val="both"/>
        <w:rPr/>
      </w:pPr>
      <w:r>
        <w:rPr>
          <w:rFonts w:ascii="Times New Roman" w:hAnsi="Times New Roman"/>
          <w:b w:val="false"/>
          <w:bCs w:val="false"/>
          <w:i/>
          <w:iCs/>
          <w:sz w:val="27"/>
          <w:szCs w:val="27"/>
          <w:u w:val="none"/>
        </w:rPr>
        <w:t xml:space="preserve">    </w:t>
      </w:r>
      <w:bookmarkStart w:id="1" w:name="__DdeLink__975_1862223556"/>
      <w:r>
        <w:rPr>
          <w:rFonts w:ascii="Times New Roman" w:hAnsi="Times New Roman"/>
          <w:b w:val="false"/>
          <w:bCs w:val="false"/>
          <w:i/>
          <w:iCs/>
          <w:sz w:val="27"/>
          <w:szCs w:val="27"/>
          <w:u w:val="none"/>
        </w:rPr>
        <w:t xml:space="preserve">Администрация </w:t>
      </w:r>
      <w:r>
        <w:rPr>
          <w:rFonts w:ascii="Times New Roman" w:hAnsi="Times New Roman"/>
          <w:b w:val="false"/>
          <w:bCs w:val="false"/>
          <w:i/>
          <w:iCs/>
          <w:sz w:val="27"/>
          <w:szCs w:val="27"/>
          <w:u w:val="none"/>
        </w:rPr>
        <w:t>муниципального района</w:t>
      </w:r>
      <w:bookmarkEnd w:id="1"/>
      <w:r>
        <w:rPr>
          <w:rFonts w:ascii="Times New Roman" w:hAnsi="Times New Roman"/>
          <w:b w:val="false"/>
          <w:bCs w:val="false"/>
          <w:i/>
          <w:iCs/>
          <w:sz w:val="27"/>
          <w:szCs w:val="27"/>
          <w:u w:val="none"/>
        </w:rPr>
        <w:t xml:space="preserve"> </w:t>
      </w:r>
      <w:r>
        <w:rPr>
          <w:rFonts w:ascii="Times New Roman" w:hAnsi="Times New Roman"/>
          <w:b w:val="false"/>
          <w:bCs w:val="false"/>
          <w:i/>
          <w:iCs/>
          <w:sz w:val="27"/>
          <w:szCs w:val="27"/>
          <w:u w:val="none"/>
        </w:rPr>
        <w:t xml:space="preserve">оспорила решения Ханты-Мансийского УФАС России в Арбитражном суде, который в последствии отменил указанные решения.  </w:t>
      </w:r>
    </w:p>
    <w:p>
      <w:pPr>
        <w:pStyle w:val="ListParagraph"/>
        <w:tabs>
          <w:tab w:val="left" w:pos="563" w:leader="none"/>
          <w:tab w:val="left" w:pos="851" w:leader="none"/>
        </w:tabs>
        <w:bidi w:val="0"/>
        <w:spacing w:lineRule="auto" w:line="240" w:before="0" w:after="0"/>
        <w:ind w:left="0" w:hanging="0"/>
        <w:jc w:val="both"/>
        <w:rPr/>
      </w:pPr>
      <w:r>
        <w:rPr>
          <w:rFonts w:ascii="Times New Roman" w:hAnsi="Times New Roman"/>
          <w:b w:val="false"/>
          <w:bCs w:val="false"/>
          <w:i/>
          <w:iCs/>
          <w:sz w:val="27"/>
          <w:szCs w:val="27"/>
          <w:u w:val="none"/>
        </w:rPr>
        <w:t xml:space="preserve">     </w:t>
      </w:r>
      <w:r>
        <w:rPr>
          <w:rFonts w:ascii="Times New Roman;serif" w:hAnsi="Times New Roman;serif"/>
          <w:b w:val="false"/>
          <w:bCs w:val="false"/>
          <w:i/>
          <w:iCs/>
          <w:sz w:val="28"/>
          <w:szCs w:val="27"/>
          <w:u w:val="none"/>
        </w:rPr>
        <w:t xml:space="preserve">Не согласившись с указанными решениями суда первой инстанции, Ханты-Мансийское УФАС России обратилось с апелляционной жалобой в </w:t>
      </w:r>
      <w:r>
        <w:rPr>
          <w:rStyle w:val="Style17"/>
          <w:rFonts w:ascii="Times New Roman;serif" w:hAnsi="Times New Roman;serif"/>
          <w:b w:val="false"/>
          <w:bCs w:val="false"/>
          <w:i/>
          <w:iCs/>
          <w:sz w:val="28"/>
          <w:szCs w:val="27"/>
          <w:u w:val="none"/>
        </w:rPr>
        <w:t>Восьмой арбитражный апелляционный суд.</w:t>
      </w:r>
    </w:p>
    <w:p>
      <w:pPr>
        <w:pStyle w:val="Style19"/>
        <w:bidi w:val="0"/>
        <w:spacing w:lineRule="auto" w:line="240" w:before="0" w:after="0"/>
        <w:ind w:left="0" w:right="0" w:firstLine="567"/>
        <w:jc w:val="both"/>
        <w:rPr/>
      </w:pPr>
      <w:r>
        <w:rPr>
          <w:rFonts w:ascii="Times New Roman;serif" w:hAnsi="Times New Roman;serif"/>
          <w:b w:val="false"/>
          <w:bCs w:val="false"/>
          <w:i/>
          <w:iCs/>
          <w:sz w:val="28"/>
          <w:u w:val="none"/>
        </w:rPr>
        <w:t xml:space="preserve">По результатам рассмотрения апелляционной жалобы антимонопольного органа, </w:t>
      </w:r>
      <w:r>
        <w:rPr>
          <w:rStyle w:val="Style17"/>
          <w:rFonts w:ascii="Times New Roman;serif" w:hAnsi="Times New Roman;serif"/>
          <w:b w:val="false"/>
          <w:bCs w:val="false"/>
          <w:i/>
          <w:iCs/>
          <w:sz w:val="28"/>
          <w:u w:val="none"/>
        </w:rPr>
        <w:t>Восьмой арбитражный апелляционный суд</w:t>
      </w:r>
      <w:r>
        <w:rPr>
          <w:rFonts w:ascii="Times New Roman;serif" w:hAnsi="Times New Roman;serif"/>
          <w:b w:val="false"/>
          <w:bCs w:val="false"/>
          <w:i/>
          <w:iCs/>
          <w:sz w:val="24"/>
          <w:u w:val="none"/>
        </w:rPr>
        <w:t xml:space="preserve"> </w:t>
      </w:r>
      <w:r>
        <w:rPr>
          <w:rFonts w:ascii="Times New Roman;serif" w:hAnsi="Times New Roman;serif"/>
          <w:b w:val="false"/>
          <w:bCs w:val="false"/>
          <w:i/>
          <w:iCs/>
          <w:sz w:val="28"/>
          <w:u w:val="none"/>
        </w:rPr>
        <w:t xml:space="preserve">отменил решения суда первой инстанций, указав о законности решений антимонопольного органа. </w:t>
      </w:r>
    </w:p>
    <w:p>
      <w:pPr>
        <w:pStyle w:val="ListParagraph"/>
        <w:tabs>
          <w:tab w:val="left" w:pos="563" w:leader="none"/>
          <w:tab w:val="left" w:pos="851" w:leader="none"/>
        </w:tabs>
        <w:bidi w:val="0"/>
        <w:spacing w:lineRule="auto" w:line="240" w:before="0" w:after="0"/>
        <w:ind w:left="0" w:hanging="0"/>
        <w:jc w:val="both"/>
        <w:rPr>
          <w:b w:val="false"/>
          <w:b w:val="false"/>
          <w:bCs w:val="false"/>
          <w:i/>
          <w:i/>
          <w:iCs/>
          <w:u w:val="none"/>
        </w:rPr>
      </w:pPr>
      <w:r>
        <w:rPr>
          <w:rFonts w:ascii="Times New Roman" w:hAnsi="Times New Roman"/>
          <w:b w:val="false"/>
          <w:bCs w:val="false"/>
          <w:i/>
          <w:iCs/>
          <w:sz w:val="27"/>
          <w:szCs w:val="27"/>
          <w:u w:val="none"/>
        </w:rPr>
        <w:t xml:space="preserve">      </w:t>
      </w:r>
      <w:r>
        <w:rPr>
          <w:rFonts w:ascii="Times New Roman" w:hAnsi="Times New Roman"/>
          <w:b w:val="false"/>
          <w:bCs w:val="false"/>
          <w:i/>
          <w:iCs/>
          <w:sz w:val="27"/>
          <w:szCs w:val="27"/>
          <w:u w:val="none"/>
        </w:rPr>
        <w:t xml:space="preserve">Арбитражный суд Западно-Сибирского округа оставил постановление  </w:t>
      </w:r>
      <w:r>
        <w:rPr>
          <w:rStyle w:val="Style17"/>
          <w:rFonts w:ascii="Times New Roman;serif" w:hAnsi="Times New Roman;serif"/>
          <w:b w:val="false"/>
          <w:bCs w:val="false"/>
          <w:i/>
          <w:iCs/>
          <w:sz w:val="28"/>
          <w:szCs w:val="27"/>
          <w:u w:val="none"/>
        </w:rPr>
        <w:t xml:space="preserve">Восьмого арбитражного апелляционного суда без изменения, жалобу  </w:t>
      </w:r>
      <w:r>
        <w:rPr>
          <w:rStyle w:val="Style17"/>
          <w:rFonts w:ascii="Times New Roman" w:hAnsi="Times New Roman"/>
          <w:b w:val="false"/>
          <w:bCs w:val="false"/>
          <w:i/>
          <w:iCs/>
          <w:sz w:val="28"/>
          <w:szCs w:val="27"/>
          <w:u w:val="none"/>
        </w:rPr>
        <w:t xml:space="preserve">Администрации </w:t>
      </w:r>
      <w:r>
        <w:rPr>
          <w:rStyle w:val="Style17"/>
          <w:rFonts w:ascii="Times New Roman" w:hAnsi="Times New Roman"/>
          <w:b w:val="false"/>
          <w:bCs w:val="false"/>
          <w:i/>
          <w:iCs/>
          <w:sz w:val="27"/>
          <w:szCs w:val="27"/>
          <w:u w:val="none"/>
        </w:rPr>
        <w:t xml:space="preserve">муниципального района </w:t>
      </w:r>
      <w:r>
        <w:rPr>
          <w:rStyle w:val="Style17"/>
          <w:rFonts w:ascii="Times New Roman" w:hAnsi="Times New Roman"/>
          <w:b w:val="false"/>
          <w:bCs w:val="false"/>
          <w:i/>
          <w:iCs/>
          <w:sz w:val="27"/>
          <w:szCs w:val="27"/>
          <w:u w:val="none"/>
        </w:rPr>
        <w:t xml:space="preserve">без удовлетворения. </w:t>
      </w:r>
    </w:p>
    <w:p>
      <w:pPr>
        <w:pStyle w:val="ListParagraph"/>
        <w:tabs>
          <w:tab w:val="left" w:pos="563" w:leader="none"/>
          <w:tab w:val="left" w:pos="851" w:leader="none"/>
        </w:tabs>
        <w:bidi w:val="0"/>
        <w:spacing w:lineRule="auto" w:line="240" w:before="0" w:after="0"/>
        <w:ind w:left="0" w:hanging="0"/>
        <w:jc w:val="both"/>
        <w:rPr>
          <w:b w:val="false"/>
          <w:b w:val="false"/>
          <w:bCs w:val="false"/>
          <w:i/>
          <w:i/>
          <w:iCs/>
          <w:u w:val="none"/>
        </w:rPr>
      </w:pPr>
      <w:r>
        <w:rPr>
          <w:rStyle w:val="Style17"/>
          <w:rFonts w:ascii="Times New Roman" w:hAnsi="Times New Roman"/>
          <w:b w:val="false"/>
          <w:bCs w:val="false"/>
          <w:i/>
          <w:iCs/>
          <w:sz w:val="27"/>
          <w:szCs w:val="27"/>
          <w:u w:val="none"/>
        </w:rPr>
        <w:t xml:space="preserve">    </w:t>
      </w:r>
    </w:p>
    <w:p>
      <w:pPr>
        <w:pStyle w:val="ListParagraph"/>
        <w:tabs>
          <w:tab w:val="left" w:pos="563" w:leader="none"/>
          <w:tab w:val="left" w:pos="851" w:leader="none"/>
        </w:tabs>
        <w:bidi w:val="0"/>
        <w:spacing w:lineRule="auto" w:line="240" w:before="0" w:after="0"/>
        <w:ind w:left="0" w:hanging="0"/>
        <w:jc w:val="both"/>
        <w:rPr>
          <w:b w:val="false"/>
          <w:b w:val="false"/>
          <w:bCs w:val="false"/>
          <w:i/>
          <w:i/>
          <w:iCs/>
          <w:u w:val="none"/>
        </w:rPr>
      </w:pPr>
      <w:r>
        <w:rPr>
          <w:rStyle w:val="Style17"/>
          <w:rFonts w:ascii="Times New Roman" w:hAnsi="Times New Roman"/>
          <w:b w:val="false"/>
          <w:bCs w:val="false"/>
          <w:i/>
          <w:iCs/>
          <w:sz w:val="27"/>
          <w:szCs w:val="27"/>
          <w:u w:val="none"/>
        </w:rPr>
        <w:t xml:space="preserve">          </w:t>
      </w:r>
      <w:r>
        <w:rPr>
          <w:rStyle w:val="Style17"/>
          <w:rFonts w:ascii="Times New Roman" w:hAnsi="Times New Roman"/>
          <w:b w:val="false"/>
          <w:bCs w:val="false"/>
          <w:i/>
          <w:iCs/>
          <w:sz w:val="27"/>
          <w:szCs w:val="27"/>
          <w:u w:val="none"/>
        </w:rPr>
        <w:t>За заключение антиконкурентного соглашения</w:t>
      </w:r>
      <w:r>
        <w:rPr>
          <w:rStyle w:val="Style17"/>
          <w:rFonts w:ascii="Times New Roman" w:hAnsi="Times New Roman"/>
          <w:b w:val="false"/>
          <w:bCs w:val="false"/>
          <w:i/>
          <w:iCs/>
          <w:sz w:val="26"/>
          <w:szCs w:val="26"/>
          <w:u w:val="none"/>
        </w:rPr>
        <w:t xml:space="preserve"> статьей 14.32 Кодекса об административных правонарушениях предусмотрена административная ответственность. </w:t>
      </w:r>
    </w:p>
    <w:p>
      <w:pPr>
        <w:pStyle w:val="ListParagraph"/>
        <w:tabs>
          <w:tab w:val="left" w:pos="563" w:leader="none"/>
          <w:tab w:val="left" w:pos="851" w:leader="none"/>
        </w:tabs>
        <w:bidi w:val="0"/>
        <w:spacing w:lineRule="auto" w:line="240" w:before="0" w:after="0"/>
        <w:ind w:left="0" w:hanging="0"/>
        <w:jc w:val="both"/>
        <w:rPr>
          <w:rStyle w:val="Style17"/>
          <w:rFonts w:ascii="Times New Roman" w:hAnsi="Times New Roman"/>
          <w:b w:val="false"/>
          <w:b w:val="false"/>
          <w:bCs w:val="false"/>
          <w:sz w:val="26"/>
          <w:szCs w:val="26"/>
        </w:rPr>
      </w:pPr>
      <w:r>
        <w:rPr>
          <w:b w:val="false"/>
          <w:bCs w:val="false"/>
          <w:i/>
          <w:iCs/>
          <w:u w:val="none"/>
        </w:rPr>
      </w:r>
    </w:p>
    <w:p>
      <w:pPr>
        <w:pStyle w:val="ListParagraph"/>
        <w:tabs>
          <w:tab w:val="left" w:pos="563" w:leader="none"/>
          <w:tab w:val="left" w:pos="851" w:leader="none"/>
        </w:tabs>
        <w:bidi w:val="0"/>
        <w:spacing w:lineRule="auto" w:line="240" w:before="0" w:after="0"/>
        <w:ind w:left="0" w:hanging="0"/>
        <w:jc w:val="both"/>
        <w:rPr>
          <w:b w:val="false"/>
          <w:b w:val="false"/>
          <w:bCs w:val="false"/>
          <w:i/>
          <w:i/>
          <w:iCs/>
          <w:u w:val="none"/>
        </w:rPr>
      </w:pPr>
      <w:r>
        <w:rPr>
          <w:rStyle w:val="Style17"/>
          <w:rFonts w:ascii="Times New Roman" w:hAnsi="Times New Roman"/>
          <w:b w:val="false"/>
          <w:bCs w:val="false"/>
          <w:i/>
          <w:iCs/>
          <w:sz w:val="26"/>
          <w:szCs w:val="26"/>
          <w:u w:val="none"/>
        </w:rPr>
        <w:t xml:space="preserve">        </w:t>
      </w:r>
      <w:r>
        <w:rPr>
          <w:rStyle w:val="Style17"/>
          <w:rFonts w:ascii="Times New Roman" w:hAnsi="Times New Roman"/>
          <w:b w:val="false"/>
          <w:bCs w:val="false"/>
          <w:i/>
          <w:iCs/>
          <w:sz w:val="26"/>
          <w:szCs w:val="26"/>
          <w:u w:val="none"/>
        </w:rPr>
        <w:t xml:space="preserve">Должностное лицо  </w:t>
      </w:r>
      <w:r>
        <w:rPr>
          <w:rStyle w:val="Style17"/>
          <w:rFonts w:ascii="Times New Roman" w:hAnsi="Times New Roman"/>
          <w:b w:val="false"/>
          <w:bCs w:val="false"/>
          <w:i/>
          <w:iCs/>
          <w:sz w:val="27"/>
          <w:szCs w:val="27"/>
          <w:u w:val="none"/>
        </w:rPr>
        <w:t>Администраци</w:t>
      </w:r>
      <w:r>
        <w:rPr>
          <w:rStyle w:val="Style17"/>
          <w:rFonts w:ascii="Times New Roman" w:hAnsi="Times New Roman"/>
          <w:b w:val="false"/>
          <w:bCs w:val="false"/>
          <w:i/>
          <w:iCs/>
          <w:sz w:val="27"/>
          <w:szCs w:val="27"/>
          <w:u w:val="none"/>
        </w:rPr>
        <w:t>и</w:t>
      </w:r>
      <w:r>
        <w:rPr>
          <w:rStyle w:val="Style17"/>
          <w:rFonts w:ascii="Times New Roman" w:hAnsi="Times New Roman"/>
          <w:b w:val="false"/>
          <w:bCs w:val="false"/>
          <w:i/>
          <w:iCs/>
          <w:sz w:val="27"/>
          <w:szCs w:val="27"/>
          <w:u w:val="none"/>
        </w:rPr>
        <w:t xml:space="preserve"> </w:t>
      </w:r>
      <w:r>
        <w:rPr>
          <w:rStyle w:val="Style17"/>
          <w:rFonts w:ascii="Times New Roman" w:hAnsi="Times New Roman"/>
          <w:b w:val="false"/>
          <w:bCs w:val="false"/>
          <w:i/>
          <w:iCs/>
          <w:sz w:val="27"/>
          <w:szCs w:val="27"/>
          <w:u w:val="none"/>
        </w:rPr>
        <w:t xml:space="preserve">муниципального района, </w:t>
      </w:r>
      <w:r>
        <w:rPr>
          <w:rStyle w:val="Style17"/>
          <w:rFonts w:ascii="Times New Roman" w:hAnsi="Times New Roman"/>
          <w:b w:val="false"/>
          <w:bCs w:val="false"/>
          <w:i/>
          <w:iCs/>
          <w:sz w:val="27"/>
          <w:szCs w:val="27"/>
          <w:u w:val="none"/>
        </w:rPr>
        <w:t>а также хозяйствующие субъекты и их должностные лица были привлечены к административной ответственности по статьей 14.32 КоАП РФ, общая сумма наложенных штрафом составила 180 000 тыс. руб.</w:t>
      </w:r>
    </w:p>
    <w:sectPr>
      <w:headerReference w:type="default" r:id="rId34"/>
      <w:type w:val="nextPage"/>
      <w:pgSz w:w="11906" w:h="16838"/>
      <w:pgMar w:left="1418" w:right="990" w:header="709" w:top="766" w:footer="0" w:bottom="53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ourier New">
    <w:charset w:val="cc"/>
    <w:family w:val="roman"/>
    <w:pitch w:val="variable"/>
  </w:font>
  <w:font w:name="Calibri">
    <w:charset w:val="cc"/>
    <w:family w:val="roman"/>
    <w:pitch w:val="variable"/>
  </w:font>
  <w:font w:name="Liberation Sans">
    <w:altName w:val="Arial"/>
    <w:charset w:val="cc"/>
    <w:family w:val="roman"/>
    <w:pitch w:val="variable"/>
  </w:font>
  <w:font w:name="Tahoma">
    <w:charset w:val="cc"/>
    <w:family w:val="roman"/>
    <w:pitch w:val="variable"/>
  </w:font>
  <w:font w:name="Times New Roman">
    <w:charset w:val="01"/>
    <w:family w:val="roman"/>
    <w:pitch w:val="variable"/>
  </w:font>
  <w:font w:name="Times New Roman">
    <w:altName w:val="serif"/>
    <w:charset w:val="cc"/>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instrText> PAGE </w:instrText>
    </w:r>
    <w:r>
      <w:fldChar w:fldCharType="separate"/>
    </w:r>
    <w:r>
      <w:t>14</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lvl>
    <w:lvl w:ilvl="1">
      <w:start w:val="1"/>
      <w:numFmt w:val="decimal"/>
      <w:lvlText w:val="%1.%2"/>
      <w:lvlJc w:val="left"/>
      <w:pPr>
        <w:ind w:left="1211" w:hanging="360"/>
      </w:pPr>
      <w:rPr>
        <w:u w:val="single"/>
      </w:rPr>
    </w:lvl>
    <w:lvl w:ilvl="2">
      <w:start w:val="1"/>
      <w:numFmt w:val="decimal"/>
      <w:lvlText w:val="%1.%2.%3"/>
      <w:lvlJc w:val="left"/>
      <w:pPr>
        <w:ind w:left="1571" w:hanging="720"/>
      </w:pPr>
      <w:rPr>
        <w:u w:val="single"/>
      </w:rPr>
    </w:lvl>
    <w:lvl w:ilvl="3">
      <w:start w:val="1"/>
      <w:numFmt w:val="decimal"/>
      <w:lvlText w:val="%1.%2.%3.%4"/>
      <w:lvlJc w:val="left"/>
      <w:pPr>
        <w:ind w:left="1931" w:hanging="1080"/>
      </w:pPr>
      <w:rPr>
        <w:u w:val="single"/>
      </w:rPr>
    </w:lvl>
    <w:lvl w:ilvl="4">
      <w:start w:val="1"/>
      <w:numFmt w:val="decimal"/>
      <w:lvlText w:val="%1.%2.%3.%4.%5"/>
      <w:lvlJc w:val="left"/>
      <w:pPr>
        <w:ind w:left="1931" w:hanging="1080"/>
      </w:pPr>
      <w:rPr>
        <w:u w:val="single"/>
      </w:rPr>
    </w:lvl>
    <w:lvl w:ilvl="5">
      <w:start w:val="1"/>
      <w:numFmt w:val="decimal"/>
      <w:lvlText w:val="%1.%2.%3.%4.%5.%6"/>
      <w:lvlJc w:val="left"/>
      <w:pPr>
        <w:ind w:left="2291" w:hanging="1440"/>
      </w:pPr>
      <w:rPr>
        <w:u w:val="single"/>
      </w:rPr>
    </w:lvl>
    <w:lvl w:ilvl="6">
      <w:start w:val="1"/>
      <w:numFmt w:val="decimal"/>
      <w:lvlText w:val="%1.%2.%3.%4.%5.%6.%7"/>
      <w:lvlJc w:val="left"/>
      <w:pPr>
        <w:ind w:left="2291" w:hanging="1440"/>
      </w:pPr>
      <w:rPr>
        <w:u w:val="single"/>
      </w:rPr>
    </w:lvl>
    <w:lvl w:ilvl="7">
      <w:start w:val="1"/>
      <w:numFmt w:val="decimal"/>
      <w:lvlText w:val="%1.%2.%3.%4.%5.%6.%7.%8"/>
      <w:lvlJc w:val="left"/>
      <w:pPr>
        <w:ind w:left="2651" w:hanging="1800"/>
      </w:pPr>
      <w:rPr>
        <w:u w:val="single"/>
      </w:rPr>
    </w:lvl>
    <w:lvl w:ilvl="8">
      <w:start w:val="1"/>
      <w:numFmt w:val="decimal"/>
      <w:lvlText w:val="%1.%2.%3.%4.%5.%6.%7.%8.%9"/>
      <w:lvlJc w:val="left"/>
      <w:pPr>
        <w:ind w:left="2651" w:hanging="1800"/>
      </w:pPr>
      <w:rPr>
        <w:u w:val="single"/>
      </w:rPr>
    </w:lvl>
  </w:abstractNum>
  <w:abstractNum w:abstractNumId="2">
    <w:lvl w:ilvl="0">
      <w:start w:val="1"/>
      <w:numFmt w:val="decimal"/>
      <w:lvlText w:val="%1."/>
      <w:lvlJc w:val="left"/>
      <w:pPr>
        <w:ind w:left="360"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2"/>
      <w:numFmt w:val="decimal"/>
      <w:lvlText w:val="%1."/>
      <w:lvlJc w:val="left"/>
      <w:pPr>
        <w:ind w:left="420" w:hanging="420"/>
      </w:pPr>
      <w:rPr>
        <w:u w:val="single"/>
      </w:rPr>
    </w:lvl>
    <w:lvl w:ilvl="1">
      <w:start w:val="1"/>
      <w:numFmt w:val="decimal"/>
      <w:lvlText w:val="%1.%2."/>
      <w:lvlJc w:val="left"/>
      <w:pPr>
        <w:ind w:left="1931" w:hanging="720"/>
      </w:pPr>
      <w:rPr>
        <w:sz w:val="27"/>
        <w:u w:val="none"/>
        <w:b/>
        <w:rFonts w:ascii="Times New Roman" w:hAnsi="Times New Roman"/>
      </w:rPr>
    </w:lvl>
    <w:lvl w:ilvl="2">
      <w:start w:val="1"/>
      <w:numFmt w:val="decimal"/>
      <w:lvlText w:val="%1.%2.%3."/>
      <w:lvlJc w:val="left"/>
      <w:pPr>
        <w:ind w:left="3142" w:hanging="720"/>
      </w:pPr>
      <w:rPr>
        <w:u w:val="single"/>
      </w:rPr>
    </w:lvl>
    <w:lvl w:ilvl="3">
      <w:start w:val="1"/>
      <w:numFmt w:val="decimal"/>
      <w:lvlText w:val="%1.%2.%3.%4."/>
      <w:lvlJc w:val="left"/>
      <w:pPr>
        <w:ind w:left="4713" w:hanging="1080"/>
      </w:pPr>
      <w:rPr>
        <w:u w:val="single"/>
      </w:rPr>
    </w:lvl>
    <w:lvl w:ilvl="4">
      <w:start w:val="1"/>
      <w:numFmt w:val="decimal"/>
      <w:lvlText w:val="%1.%2.%3.%4.%5."/>
      <w:lvlJc w:val="left"/>
      <w:pPr>
        <w:ind w:left="5924" w:hanging="1080"/>
      </w:pPr>
      <w:rPr>
        <w:u w:val="single"/>
      </w:rPr>
    </w:lvl>
    <w:lvl w:ilvl="5">
      <w:start w:val="1"/>
      <w:numFmt w:val="decimal"/>
      <w:lvlText w:val="%1.%2.%3.%4.%5.%6."/>
      <w:lvlJc w:val="left"/>
      <w:pPr>
        <w:ind w:left="7495" w:hanging="1440"/>
      </w:pPr>
      <w:rPr>
        <w:u w:val="single"/>
      </w:rPr>
    </w:lvl>
    <w:lvl w:ilvl="6">
      <w:start w:val="1"/>
      <w:numFmt w:val="decimal"/>
      <w:lvlText w:val="%1.%2.%3.%4.%5.%6.%7."/>
      <w:lvlJc w:val="left"/>
      <w:pPr>
        <w:ind w:left="8706" w:hanging="1440"/>
      </w:pPr>
      <w:rPr>
        <w:u w:val="single"/>
      </w:rPr>
    </w:lvl>
    <w:lvl w:ilvl="7">
      <w:start w:val="1"/>
      <w:numFmt w:val="decimal"/>
      <w:lvlText w:val="%1.%2.%3.%4.%5.%6.%7.%8."/>
      <w:lvlJc w:val="left"/>
      <w:pPr>
        <w:ind w:left="10277" w:hanging="1800"/>
      </w:pPr>
      <w:rPr>
        <w:u w:val="single"/>
      </w:rPr>
    </w:lvl>
    <w:lvl w:ilvl="8">
      <w:start w:val="1"/>
      <w:numFmt w:val="decimal"/>
      <w:lvlText w:val="%1.%2.%3.%4.%5.%6.%7.%8.%9."/>
      <w:lvlJc w:val="left"/>
      <w:pPr>
        <w:ind w:left="11848" w:hanging="2160"/>
      </w:pPr>
      <w:rPr>
        <w:u w:val="single"/>
      </w:rPr>
    </w:lvl>
  </w:abstractNum>
  <w:abstractNum w:abstractNumId="4">
    <w:lvl w:ilvl="0">
      <w:start w:val="2"/>
      <w:numFmt w:val="upperRoman"/>
      <w:lvlText w:val="%1."/>
      <w:lvlJc w:val="left"/>
      <w:pPr>
        <w:ind w:left="1620" w:hanging="72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e1ab4"/>
    <w:pPr>
      <w:widowControl/>
      <w:bidi w:val="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qFormat/>
    <w:rsid w:val="00223add"/>
    <w:pPr>
      <w:spacing w:lineRule="atLeast" w:line="690" w:beforeAutospacing="1" w:after="495"/>
      <w:outlineLvl w:val="0"/>
    </w:pPr>
    <w:rPr>
      <w:rFonts w:ascii="Arial" w:hAnsi="Arial" w:cs="Arial"/>
      <w:sz w:val="35"/>
      <w:szCs w:val="35"/>
    </w:rPr>
  </w:style>
  <w:style w:type="paragraph" w:styleId="2">
    <w:name w:val="Heading 2"/>
    <w:basedOn w:val="Normal"/>
    <w:qFormat/>
    <w:rsid w:val="005c39d4"/>
    <w:pPr>
      <w:keepNext/>
      <w:spacing w:before="240" w:after="60"/>
      <w:outlineLvl w:val="1"/>
    </w:pPr>
    <w:rPr>
      <w:rFonts w:ascii="Arial" w:hAnsi="Arial" w:cs="Arial"/>
      <w:b/>
      <w:bCs/>
      <w:i/>
      <w:iCs/>
      <w:sz w:val="28"/>
      <w:szCs w:val="28"/>
    </w:rPr>
  </w:style>
  <w:style w:type="paragraph" w:styleId="3">
    <w:name w:val="Heading 3"/>
    <w:basedOn w:val="Normal"/>
    <w:link w:val="30"/>
    <w:qFormat/>
    <w:rsid w:val="004005ec"/>
    <w:pPr>
      <w:keepNext/>
      <w:spacing w:before="240" w:after="60"/>
      <w:jc w:val="center"/>
      <w:outlineLvl w:val="2"/>
    </w:pPr>
    <w:rPr>
      <w:b/>
      <w:bCs/>
      <w:sz w:val="28"/>
      <w:szCs w:val="28"/>
    </w:rPr>
  </w:style>
  <w:style w:type="paragraph" w:styleId="4">
    <w:name w:val="Heading 4"/>
    <w:basedOn w:val="Normal"/>
    <w:link w:val="40"/>
    <w:unhideWhenUsed/>
    <w:qFormat/>
    <w:rsid w:val="007132b9"/>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0" w:customStyle="1">
    <w:name w:val="Основной текст Знак"/>
    <w:link w:val="a3"/>
    <w:qFormat/>
    <w:locked/>
    <w:rsid w:val="00296abc"/>
    <w:rPr>
      <w:b/>
      <w:bCs/>
      <w:sz w:val="22"/>
      <w:szCs w:val="24"/>
      <w:lang w:val="ru-RU" w:eastAsia="ru-RU" w:bidi="ar-SA"/>
    </w:rPr>
  </w:style>
  <w:style w:type="character" w:styleId="HTML" w:customStyle="1">
    <w:name w:val="Стандартный HTML Знак"/>
    <w:link w:val="HTML"/>
    <w:qFormat/>
    <w:rsid w:val="00ad1332"/>
    <w:rPr>
      <w:rFonts w:ascii="Courier New" w:hAnsi="Courier New" w:cs="Courier New"/>
      <w:lang w:val="ru-RU" w:eastAsia="ru-RU" w:bidi="ar-SA"/>
    </w:rPr>
  </w:style>
  <w:style w:type="character" w:styleId="Style11" w:customStyle="1">
    <w:name w:val="Основной текст с отступом Знак"/>
    <w:link w:val="a6"/>
    <w:semiHidden/>
    <w:qFormat/>
    <w:locked/>
    <w:rsid w:val="00422c3a"/>
    <w:rPr>
      <w:rFonts w:ascii="Calibri" w:hAnsi="Calibri"/>
      <w:sz w:val="22"/>
      <w:szCs w:val="22"/>
      <w:lang w:val="ru-RU" w:eastAsia="en-US" w:bidi="ar-SA"/>
    </w:rPr>
  </w:style>
  <w:style w:type="character" w:styleId="21" w:customStyle="1">
    <w:name w:val="Основной текст с отступом 2 Знак"/>
    <w:link w:val="20"/>
    <w:semiHidden/>
    <w:qFormat/>
    <w:locked/>
    <w:rsid w:val="00422c3a"/>
    <w:rPr>
      <w:rFonts w:ascii="Calibri" w:hAnsi="Calibri"/>
      <w:sz w:val="22"/>
      <w:szCs w:val="22"/>
      <w:lang w:val="ru-RU" w:eastAsia="en-US" w:bidi="ar-SA"/>
    </w:rPr>
  </w:style>
  <w:style w:type="character" w:styleId="22" w:customStyle="1">
    <w:name w:val="Основной текст 2 Знак"/>
    <w:link w:val="22"/>
    <w:semiHidden/>
    <w:qFormat/>
    <w:locked/>
    <w:rsid w:val="00422c3a"/>
    <w:rPr>
      <w:rFonts w:ascii="Calibri" w:hAnsi="Calibri"/>
      <w:sz w:val="22"/>
      <w:szCs w:val="22"/>
      <w:lang w:val="ru-RU" w:eastAsia="en-US" w:bidi="ar-SA"/>
    </w:rPr>
  </w:style>
  <w:style w:type="character" w:styleId="31" w:customStyle="1">
    <w:name w:val="Заголовок 3 Знак"/>
    <w:link w:val="3"/>
    <w:qFormat/>
    <w:rsid w:val="004005ec"/>
    <w:rPr>
      <w:b/>
      <w:bCs/>
      <w:sz w:val="28"/>
      <w:szCs w:val="28"/>
    </w:rPr>
  </w:style>
  <w:style w:type="character" w:styleId="Style12">
    <w:name w:val="Интернет-ссылка"/>
    <w:uiPriority w:val="99"/>
    <w:rsid w:val="00223add"/>
    <w:rPr>
      <w:color w:val="0000FF"/>
      <w:u w:val="single"/>
    </w:rPr>
  </w:style>
  <w:style w:type="character" w:styleId="Pagenumber">
    <w:name w:val="page number"/>
    <w:basedOn w:val="DefaultParagraphFont"/>
    <w:qFormat/>
    <w:rsid w:val="00987bea"/>
    <w:rPr/>
  </w:style>
  <w:style w:type="character" w:styleId="Fontstyle12" w:customStyle="1">
    <w:name w:val="fontstyle12"/>
    <w:basedOn w:val="DefaultParagraphFont"/>
    <w:qFormat/>
    <w:rsid w:val="002300d9"/>
    <w:rPr/>
  </w:style>
  <w:style w:type="character" w:styleId="Fontstyle11" w:customStyle="1">
    <w:name w:val="fontstyle11"/>
    <w:basedOn w:val="DefaultParagraphFont"/>
    <w:qFormat/>
    <w:rsid w:val="002300d9"/>
    <w:rPr/>
  </w:style>
  <w:style w:type="character" w:styleId="SUBST" w:customStyle="1">
    <w:name w:val="__SUBST"/>
    <w:qFormat/>
    <w:rsid w:val="00557432"/>
    <w:rPr>
      <w:b/>
      <w:bCs/>
      <w:i/>
      <w:iCs/>
      <w:sz w:val="20"/>
      <w:szCs w:val="20"/>
    </w:rPr>
  </w:style>
  <w:style w:type="character" w:styleId="FontStyle111" w:customStyle="1">
    <w:name w:val="Font Style11"/>
    <w:qFormat/>
    <w:rsid w:val="00d55a6a"/>
    <w:rPr>
      <w:rFonts w:ascii="Times New Roman" w:hAnsi="Times New Roman" w:cs="Times New Roman"/>
      <w:b/>
      <w:bCs/>
      <w:sz w:val="26"/>
      <w:szCs w:val="26"/>
    </w:rPr>
  </w:style>
  <w:style w:type="character" w:styleId="FontStyle21" w:customStyle="1">
    <w:name w:val="Font Style21"/>
    <w:qFormat/>
    <w:rsid w:val="0026225f"/>
    <w:rPr>
      <w:rFonts w:ascii="Times New Roman" w:hAnsi="Times New Roman" w:cs="Times New Roman"/>
      <w:sz w:val="24"/>
      <w:szCs w:val="24"/>
    </w:rPr>
  </w:style>
  <w:style w:type="character" w:styleId="32" w:customStyle="1">
    <w:name w:val="Основной текст с отступом 3 Знак"/>
    <w:link w:val="31"/>
    <w:qFormat/>
    <w:rsid w:val="00292543"/>
    <w:rPr>
      <w:sz w:val="16"/>
      <w:szCs w:val="16"/>
    </w:rPr>
  </w:style>
  <w:style w:type="character" w:styleId="Textexposedshow" w:customStyle="1">
    <w:name w:val="text_exposed_show"/>
    <w:uiPriority w:val="99"/>
    <w:qFormat/>
    <w:rsid w:val="0072677f"/>
    <w:rPr/>
  </w:style>
  <w:style w:type="character" w:styleId="Appleconvertedspace" w:customStyle="1">
    <w:name w:val="apple-converted-space"/>
    <w:qFormat/>
    <w:rsid w:val="0072677f"/>
    <w:rPr/>
  </w:style>
  <w:style w:type="character" w:styleId="Style13" w:customStyle="1">
    <w:name w:val="Текст сноски Знак"/>
    <w:link w:val="af2"/>
    <w:uiPriority w:val="99"/>
    <w:qFormat/>
    <w:rsid w:val="0072677f"/>
    <w:rPr>
      <w:rFonts w:ascii="Calibri" w:hAnsi="Calibri" w:eastAsia="Calibri" w:cs="Calibri"/>
      <w:lang w:eastAsia="en-US"/>
    </w:rPr>
  </w:style>
  <w:style w:type="character" w:styleId="Footnotereference">
    <w:name w:val="footnote reference"/>
    <w:uiPriority w:val="99"/>
    <w:qFormat/>
    <w:rsid w:val="0072677f"/>
    <w:rPr>
      <w:vertAlign w:val="superscript"/>
    </w:rPr>
  </w:style>
  <w:style w:type="character" w:styleId="Style14" w:customStyle="1">
    <w:name w:val="Название Знак"/>
    <w:link w:val="af5"/>
    <w:qFormat/>
    <w:rsid w:val="00db54d2"/>
    <w:rPr>
      <w:rFonts w:ascii="Cambria" w:hAnsi="Cambria" w:eastAsia="Times New Roman" w:cs="Times New Roman"/>
      <w:b/>
      <w:bCs/>
      <w:sz w:val="32"/>
      <w:szCs w:val="32"/>
    </w:rPr>
  </w:style>
  <w:style w:type="character" w:styleId="Style15" w:customStyle="1">
    <w:name w:val="Основной текст_"/>
    <w:basedOn w:val="DefaultParagraphFont"/>
    <w:link w:val="12"/>
    <w:qFormat/>
    <w:rsid w:val="000674fe"/>
    <w:rPr>
      <w:sz w:val="27"/>
      <w:szCs w:val="27"/>
      <w:shd w:fill="FFFFFF" w:val="clear"/>
    </w:rPr>
  </w:style>
  <w:style w:type="character" w:styleId="33" w:customStyle="1">
    <w:name w:val="Заголовок №3_"/>
    <w:basedOn w:val="DefaultParagraphFont"/>
    <w:link w:val="36"/>
    <w:qFormat/>
    <w:rsid w:val="000674fe"/>
    <w:rPr>
      <w:sz w:val="27"/>
      <w:szCs w:val="27"/>
      <w:shd w:fill="FFFFFF" w:val="clear"/>
    </w:rPr>
  </w:style>
  <w:style w:type="character" w:styleId="6" w:customStyle="1">
    <w:name w:val="Основной текст (6)_"/>
    <w:basedOn w:val="DefaultParagraphFont"/>
    <w:link w:val="60"/>
    <w:qFormat/>
    <w:rsid w:val="000674fe"/>
    <w:rPr>
      <w:rFonts w:ascii="Courier New" w:hAnsi="Courier New" w:eastAsia="Courier New" w:cs="Courier New"/>
      <w:sz w:val="13"/>
      <w:szCs w:val="13"/>
      <w:shd w:fill="FFFFFF" w:val="clear"/>
    </w:rPr>
  </w:style>
  <w:style w:type="character" w:styleId="7" w:customStyle="1">
    <w:name w:val="Основной текст (7)_"/>
    <w:basedOn w:val="DefaultParagraphFont"/>
    <w:link w:val="70"/>
    <w:qFormat/>
    <w:rsid w:val="00ad50a6"/>
    <w:rPr>
      <w:sz w:val="27"/>
      <w:szCs w:val="27"/>
      <w:shd w:fill="FFFFFF" w:val="clear"/>
    </w:rPr>
  </w:style>
  <w:style w:type="character" w:styleId="Style16" w:customStyle="1">
    <w:name w:val="Верхний колонтитул Знак"/>
    <w:basedOn w:val="DefaultParagraphFont"/>
    <w:link w:val="a9"/>
    <w:uiPriority w:val="99"/>
    <w:qFormat/>
    <w:rsid w:val="00a3405c"/>
    <w:rPr>
      <w:sz w:val="24"/>
      <w:szCs w:val="24"/>
    </w:rPr>
  </w:style>
  <w:style w:type="character" w:styleId="41" w:customStyle="1">
    <w:name w:val="Заголовок 4 Знак"/>
    <w:basedOn w:val="DefaultParagraphFont"/>
    <w:link w:val="4"/>
    <w:qFormat/>
    <w:rsid w:val="007132b9"/>
    <w:rPr>
      <w:rFonts w:ascii="Cambria" w:hAnsi="Cambria" w:eastAsia="" w:cs="" w:asciiTheme="majorHAnsi" w:cstheme="majorBidi" w:eastAsiaTheme="majorEastAsia" w:hAnsiTheme="majorHAnsi"/>
      <w:b/>
      <w:bCs/>
      <w:i/>
      <w:iCs/>
      <w:color w:val="4F81BD" w:themeColor="accent1"/>
      <w:sz w:val="24"/>
      <w:szCs w:val="24"/>
    </w:rPr>
  </w:style>
  <w:style w:type="character" w:styleId="Strong">
    <w:name w:val="Strong"/>
    <w:basedOn w:val="DefaultParagraphFont"/>
    <w:uiPriority w:val="22"/>
    <w:qFormat/>
    <w:rsid w:val="00e00f39"/>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b w:val="false"/>
      <w:i w:val="false"/>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b w:val="false"/>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b w:val="false"/>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29">
    <w:name w:val="ListLabel 29"/>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0">
    <w:name w:val="ListLabel 30"/>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
    <w:name w:val="ListLabel 31"/>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2">
    <w:name w:val="ListLabel 32"/>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33">
    <w:name w:val="ListLabel 33"/>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4">
    <w:name w:val="ListLabel 34"/>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35">
    <w:name w:val="ListLabel 35"/>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6">
    <w:name w:val="ListLabel 36"/>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37">
    <w:name w:val="ListLabel 37"/>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8">
    <w:name w:val="ListLabel 3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9">
    <w:name w:val="ListLabel 39"/>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40">
    <w:name w:val="ListLabel 40"/>
    <w:qFormat/>
    <w:rPr>
      <w:rFonts w:eastAsia="Times New Roman" w:cs="Times New Roman"/>
      <w:b/>
      <w:bCs/>
      <w:i w:val="false"/>
      <w:iCs w:val="false"/>
      <w:caps w:val="false"/>
      <w:smallCaps w:val="false"/>
      <w:strike w:val="false"/>
      <w:dstrike w:val="false"/>
      <w:color w:val="000000"/>
      <w:spacing w:val="0"/>
      <w:w w:val="100"/>
      <w:sz w:val="27"/>
      <w:szCs w:val="27"/>
      <w:u w:val="none"/>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u w:val="single"/>
    </w:rPr>
  </w:style>
  <w:style w:type="character" w:styleId="ListLabel51">
    <w:name w:val="ListLabel 51"/>
    <w:qFormat/>
    <w:rPr>
      <w:u w:val="single"/>
    </w:rPr>
  </w:style>
  <w:style w:type="character" w:styleId="ListLabel52">
    <w:name w:val="ListLabel 52"/>
    <w:qFormat/>
    <w:rPr>
      <w:u w:val="single"/>
    </w:rPr>
  </w:style>
  <w:style w:type="character" w:styleId="ListLabel53">
    <w:name w:val="ListLabel 53"/>
    <w:qFormat/>
    <w:rPr>
      <w:u w:val="single"/>
    </w:rPr>
  </w:style>
  <w:style w:type="character" w:styleId="ListLabel54">
    <w:name w:val="ListLabel 54"/>
    <w:qFormat/>
    <w:rPr>
      <w:u w:val="single"/>
    </w:rPr>
  </w:style>
  <w:style w:type="character" w:styleId="ListLabel55">
    <w:name w:val="ListLabel 55"/>
    <w:qFormat/>
    <w:rPr>
      <w:u w:val="single"/>
    </w:rPr>
  </w:style>
  <w:style w:type="character" w:styleId="ListLabel56">
    <w:name w:val="ListLabel 56"/>
    <w:qFormat/>
    <w:rPr>
      <w:u w:val="single"/>
    </w:rPr>
  </w:style>
  <w:style w:type="character" w:styleId="ListLabel57">
    <w:name w:val="ListLabel 57"/>
    <w:qFormat/>
    <w:rPr>
      <w:u w:val="single"/>
    </w:rPr>
  </w:style>
  <w:style w:type="character" w:styleId="ListLabel58">
    <w:name w:val="ListLabel 58"/>
    <w:qFormat/>
    <w:rPr>
      <w:rFonts w:cs="Times New Roman"/>
      <w:color w:val="00000A"/>
      <w:sz w:val="28"/>
    </w:rPr>
  </w:style>
  <w:style w:type="character" w:styleId="ListLabel59">
    <w:name w:val="ListLabel 59"/>
    <w:qFormat/>
    <w:rPr>
      <w:u w:val="single"/>
    </w:rPr>
  </w:style>
  <w:style w:type="character" w:styleId="ListLabel60">
    <w:name w:val="ListLabel 60"/>
    <w:qFormat/>
    <w:rPr>
      <w:rFonts w:ascii="Times New Roman" w:hAnsi="Times New Roman"/>
      <w:b/>
      <w:sz w:val="27"/>
      <w:u w:val="none"/>
    </w:rPr>
  </w:style>
  <w:style w:type="character" w:styleId="ListLabel61">
    <w:name w:val="ListLabel 61"/>
    <w:qFormat/>
    <w:rPr>
      <w:u w:val="single"/>
    </w:rPr>
  </w:style>
  <w:style w:type="character" w:styleId="ListLabel62">
    <w:name w:val="ListLabel 62"/>
    <w:qFormat/>
    <w:rPr>
      <w:u w:val="single"/>
    </w:rPr>
  </w:style>
  <w:style w:type="character" w:styleId="ListLabel63">
    <w:name w:val="ListLabel 63"/>
    <w:qFormat/>
    <w:rPr>
      <w:u w:val="single"/>
    </w:rPr>
  </w:style>
  <w:style w:type="character" w:styleId="ListLabel64">
    <w:name w:val="ListLabel 64"/>
    <w:qFormat/>
    <w:rPr>
      <w:u w:val="single"/>
    </w:rPr>
  </w:style>
  <w:style w:type="character" w:styleId="ListLabel65">
    <w:name w:val="ListLabel 65"/>
    <w:qFormat/>
    <w:rPr>
      <w:u w:val="single"/>
    </w:rPr>
  </w:style>
  <w:style w:type="character" w:styleId="ListLabel66">
    <w:name w:val="ListLabel 66"/>
    <w:qFormat/>
    <w:rPr>
      <w:u w:val="single"/>
    </w:rPr>
  </w:style>
  <w:style w:type="character" w:styleId="ListLabel67">
    <w:name w:val="ListLabel 67"/>
    <w:qFormat/>
    <w:rPr>
      <w:u w:val="single"/>
    </w:rPr>
  </w:style>
  <w:style w:type="character" w:styleId="ListLabel68">
    <w:name w:val="ListLabel 68"/>
    <w:qFormat/>
    <w:rPr>
      <w:rFonts w:eastAsia="Times New Roman" w:cs="Times New Roman"/>
    </w:rPr>
  </w:style>
  <w:style w:type="character" w:styleId="ListLabel69">
    <w:name w:val="ListLabel 69"/>
    <w:qFormat/>
    <w:rPr>
      <w:color w:val="000000"/>
    </w:rPr>
  </w:style>
  <w:style w:type="character" w:styleId="Style17">
    <w:name w:val="Выделение жирным"/>
    <w:qFormat/>
    <w:rPr>
      <w:b/>
      <w:bCs/>
    </w:rPr>
  </w:style>
  <w:style w:type="character" w:styleId="ListLabel70">
    <w:name w:val="ListLabel 70"/>
    <w:qFormat/>
    <w:rPr>
      <w:u w:val="single"/>
    </w:rPr>
  </w:style>
  <w:style w:type="character" w:styleId="ListLabel71">
    <w:name w:val="ListLabel 71"/>
    <w:qFormat/>
    <w:rPr>
      <w:u w:val="single"/>
    </w:rPr>
  </w:style>
  <w:style w:type="character" w:styleId="ListLabel72">
    <w:name w:val="ListLabel 72"/>
    <w:qFormat/>
    <w:rPr>
      <w:u w:val="single"/>
    </w:rPr>
  </w:style>
  <w:style w:type="character" w:styleId="ListLabel73">
    <w:name w:val="ListLabel 73"/>
    <w:qFormat/>
    <w:rPr>
      <w:u w:val="single"/>
    </w:rPr>
  </w:style>
  <w:style w:type="character" w:styleId="ListLabel74">
    <w:name w:val="ListLabel 74"/>
    <w:qFormat/>
    <w:rPr>
      <w:u w:val="single"/>
    </w:rPr>
  </w:style>
  <w:style w:type="character" w:styleId="ListLabel75">
    <w:name w:val="ListLabel 75"/>
    <w:qFormat/>
    <w:rPr>
      <w:u w:val="single"/>
    </w:rPr>
  </w:style>
  <w:style w:type="character" w:styleId="ListLabel76">
    <w:name w:val="ListLabel 76"/>
    <w:qFormat/>
    <w:rPr>
      <w:u w:val="single"/>
    </w:rPr>
  </w:style>
  <w:style w:type="character" w:styleId="ListLabel77">
    <w:name w:val="ListLabel 77"/>
    <w:qFormat/>
    <w:rPr>
      <w:u w:val="single"/>
    </w:rPr>
  </w:style>
  <w:style w:type="character" w:styleId="ListLabel78">
    <w:name w:val="ListLabel 78"/>
    <w:qFormat/>
    <w:rPr>
      <w:u w:val="single"/>
    </w:rPr>
  </w:style>
  <w:style w:type="character" w:styleId="ListLabel79">
    <w:name w:val="ListLabel 79"/>
    <w:qFormat/>
    <w:rPr>
      <w:rFonts w:ascii="Times New Roman" w:hAnsi="Times New Roman"/>
      <w:b/>
      <w:sz w:val="27"/>
      <w:u w:val="none"/>
    </w:rPr>
  </w:style>
  <w:style w:type="character" w:styleId="ListLabel80">
    <w:name w:val="ListLabel 80"/>
    <w:qFormat/>
    <w:rPr>
      <w:u w:val="single"/>
    </w:rPr>
  </w:style>
  <w:style w:type="character" w:styleId="ListLabel81">
    <w:name w:val="ListLabel 81"/>
    <w:qFormat/>
    <w:rPr>
      <w:u w:val="single"/>
    </w:rPr>
  </w:style>
  <w:style w:type="character" w:styleId="ListLabel82">
    <w:name w:val="ListLabel 82"/>
    <w:qFormat/>
    <w:rPr>
      <w:u w:val="single"/>
    </w:rPr>
  </w:style>
  <w:style w:type="character" w:styleId="ListLabel83">
    <w:name w:val="ListLabel 83"/>
    <w:qFormat/>
    <w:rPr>
      <w:u w:val="single"/>
    </w:rPr>
  </w:style>
  <w:style w:type="character" w:styleId="ListLabel84">
    <w:name w:val="ListLabel 84"/>
    <w:qFormat/>
    <w:rPr>
      <w:u w:val="single"/>
    </w:rPr>
  </w:style>
  <w:style w:type="character" w:styleId="ListLabel85">
    <w:name w:val="ListLabel 85"/>
    <w:qFormat/>
    <w:rPr>
      <w:u w:val="single"/>
    </w:rPr>
  </w:style>
  <w:style w:type="character" w:styleId="ListLabel86">
    <w:name w:val="ListLabel 86"/>
    <w:qFormat/>
    <w:rPr>
      <w:u w:val="single"/>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link w:val="a4"/>
    <w:rsid w:val="00296abc"/>
    <w:pPr>
      <w:jc w:val="center"/>
    </w:pPr>
    <w:rPr>
      <w:b/>
      <w:bCs/>
      <w:sz w:val="22"/>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ListParagraph">
    <w:name w:val="List Paragraph"/>
    <w:basedOn w:val="Normal"/>
    <w:uiPriority w:val="34"/>
    <w:qFormat/>
    <w:rsid w:val="00ad1332"/>
    <w:pPr>
      <w:spacing w:lineRule="auto" w:line="276" w:before="0" w:after="200"/>
      <w:ind w:left="720" w:hanging="0"/>
      <w:contextualSpacing/>
    </w:pPr>
    <w:rPr>
      <w:rFonts w:ascii="Calibri" w:hAnsi="Calibri"/>
      <w:sz w:val="22"/>
      <w:szCs w:val="22"/>
    </w:rPr>
  </w:style>
  <w:style w:type="paragraph" w:styleId="HTMLPreformatted">
    <w:name w:val="HTML Preformatted"/>
    <w:basedOn w:val="Normal"/>
    <w:link w:val="HTML0"/>
    <w:unhideWhenUsed/>
    <w:qFormat/>
    <w:rsid w:val="00ad133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11" w:customStyle="1">
    <w:name w:val="Абзац списка1"/>
    <w:basedOn w:val="Normal"/>
    <w:qFormat/>
    <w:rsid w:val="00422c3a"/>
    <w:pPr>
      <w:spacing w:lineRule="auto" w:line="276" w:before="0" w:after="200"/>
      <w:ind w:left="720" w:hanging="0"/>
    </w:pPr>
    <w:rPr>
      <w:rFonts w:ascii="Calibri" w:hAnsi="Calibri" w:eastAsia="Calibri"/>
      <w:sz w:val="22"/>
      <w:szCs w:val="22"/>
    </w:rPr>
  </w:style>
  <w:style w:type="paragraph" w:styleId="ConsPlusNormal" w:customStyle="1">
    <w:name w:val="ConsPlusNormal"/>
    <w:qFormat/>
    <w:rsid w:val="00422c3a"/>
    <w:pPr>
      <w:widowControl w:val="false"/>
      <w:bidi w:val="0"/>
      <w:ind w:firstLine="720"/>
      <w:jc w:val="left"/>
    </w:pPr>
    <w:rPr>
      <w:rFonts w:ascii="Arial" w:hAnsi="Arial" w:eastAsia="Calibri" w:cs="Arial"/>
      <w:color w:val="00000A"/>
      <w:sz w:val="24"/>
      <w:szCs w:val="20"/>
      <w:lang w:val="ru-RU" w:eastAsia="ru-RU" w:bidi="ar-SA"/>
    </w:rPr>
  </w:style>
  <w:style w:type="paragraph" w:styleId="Style23">
    <w:name w:val="Body Text Indent"/>
    <w:basedOn w:val="Normal"/>
    <w:link w:val="a7"/>
    <w:semiHidden/>
    <w:rsid w:val="00422c3a"/>
    <w:pPr>
      <w:spacing w:lineRule="auto" w:line="276" w:before="0" w:after="120"/>
      <w:ind w:left="283" w:hanging="0"/>
    </w:pPr>
    <w:rPr>
      <w:rFonts w:ascii="Calibri" w:hAnsi="Calibri"/>
      <w:sz w:val="22"/>
      <w:szCs w:val="22"/>
      <w:lang w:eastAsia="en-US"/>
    </w:rPr>
  </w:style>
  <w:style w:type="paragraph" w:styleId="BodyTextIndent2">
    <w:name w:val="Body Text Indent 2"/>
    <w:basedOn w:val="Normal"/>
    <w:link w:val="21"/>
    <w:semiHidden/>
    <w:qFormat/>
    <w:rsid w:val="00422c3a"/>
    <w:pPr>
      <w:spacing w:lineRule="auto" w:line="480" w:before="0" w:after="120"/>
      <w:ind w:left="283" w:hanging="0"/>
    </w:pPr>
    <w:rPr>
      <w:rFonts w:ascii="Calibri" w:hAnsi="Calibri"/>
      <w:sz w:val="22"/>
      <w:szCs w:val="22"/>
      <w:lang w:eastAsia="en-US"/>
    </w:rPr>
  </w:style>
  <w:style w:type="paragraph" w:styleId="BodyText2">
    <w:name w:val="Body Text 2"/>
    <w:basedOn w:val="Normal"/>
    <w:link w:val="23"/>
    <w:semiHidden/>
    <w:qFormat/>
    <w:rsid w:val="00422c3a"/>
    <w:pPr>
      <w:spacing w:lineRule="auto" w:line="480" w:before="0" w:after="120"/>
    </w:pPr>
    <w:rPr>
      <w:rFonts w:ascii="Calibri" w:hAnsi="Calibri"/>
      <w:sz w:val="22"/>
      <w:szCs w:val="22"/>
      <w:lang w:eastAsia="en-US"/>
    </w:rPr>
  </w:style>
  <w:style w:type="paragraph" w:styleId="23" w:customStyle="1">
    <w:name w:val="Обычный2"/>
    <w:qFormat/>
    <w:rsid w:val="00422c3a"/>
    <w:pPr>
      <w:widowControl/>
      <w:bidi w:val="0"/>
      <w:jc w:val="left"/>
    </w:pPr>
    <w:rPr>
      <w:rFonts w:ascii="Times New Roman" w:hAnsi="Times New Roman" w:eastAsia="Calibri" w:cs="Times New Roman"/>
      <w:color w:val="00000A"/>
      <w:sz w:val="24"/>
      <w:szCs w:val="20"/>
      <w:lang w:val="ru-RU" w:eastAsia="ru-RU" w:bidi="ar-SA"/>
    </w:rPr>
  </w:style>
  <w:style w:type="paragraph" w:styleId="CharChar3CharCharCharCharCharCharCharChar" w:customStyle="1">
    <w:name w:val="Char Char3 Char Char Char Char Знак Знак Char Char Знак Знак Char Char"/>
    <w:basedOn w:val="Normal"/>
    <w:qFormat/>
    <w:rsid w:val="00223add"/>
    <w:pPr>
      <w:spacing w:beforeAutospacing="1" w:afterAutospacing="1"/>
      <w:jc w:val="both"/>
    </w:pPr>
    <w:rPr>
      <w:rFonts w:ascii="Tahoma" w:hAnsi="Tahoma"/>
      <w:sz w:val="20"/>
      <w:szCs w:val="20"/>
      <w:lang w:val="en-US" w:eastAsia="en-US"/>
    </w:rPr>
  </w:style>
  <w:style w:type="paragraph" w:styleId="12">
    <w:name w:val="TOC 1"/>
    <w:basedOn w:val="Normal"/>
    <w:uiPriority w:val="39"/>
    <w:qFormat/>
    <w:rsid w:val="000d53fe"/>
    <w:pPr>
      <w:suppressAutoHyphens w:val="true"/>
    </w:pPr>
    <w:rPr>
      <w:lang w:eastAsia="ar-SA"/>
    </w:rPr>
  </w:style>
  <w:style w:type="paragraph" w:styleId="24">
    <w:name w:val="TOC 2"/>
    <w:basedOn w:val="Normal"/>
    <w:uiPriority w:val="39"/>
    <w:qFormat/>
    <w:rsid w:val="000d53fe"/>
    <w:pPr>
      <w:suppressAutoHyphens w:val="true"/>
      <w:ind w:left="240" w:hanging="0"/>
    </w:pPr>
    <w:rPr>
      <w:lang w:eastAsia="ar-SA"/>
    </w:rPr>
  </w:style>
  <w:style w:type="paragraph" w:styleId="Style24">
    <w:name w:val="Header"/>
    <w:basedOn w:val="Normal"/>
    <w:link w:val="aa"/>
    <w:uiPriority w:val="99"/>
    <w:rsid w:val="00c275d5"/>
    <w:pPr>
      <w:tabs>
        <w:tab w:val="center" w:pos="4677" w:leader="none"/>
        <w:tab w:val="right" w:pos="9355" w:leader="none"/>
      </w:tabs>
    </w:pPr>
    <w:rPr/>
  </w:style>
  <w:style w:type="paragraph" w:styleId="Style25">
    <w:name w:val="Footer"/>
    <w:basedOn w:val="Normal"/>
    <w:rsid w:val="00c275d5"/>
    <w:pPr>
      <w:tabs>
        <w:tab w:val="center" w:pos="4677" w:leader="none"/>
        <w:tab w:val="right" w:pos="9355" w:leader="none"/>
      </w:tabs>
    </w:pPr>
    <w:rPr/>
  </w:style>
  <w:style w:type="paragraph" w:styleId="NormalWeb">
    <w:name w:val="Normal (Web)"/>
    <w:basedOn w:val="Normal"/>
    <w:uiPriority w:val="99"/>
    <w:qFormat/>
    <w:rsid w:val="003569b4"/>
    <w:pPr>
      <w:spacing w:before="100" w:after="100"/>
    </w:pPr>
    <w:rPr>
      <w:rFonts w:ascii="Arial" w:hAnsi="Arial" w:cs="Arial"/>
      <w:color w:val="000000"/>
      <w:sz w:val="18"/>
      <w:szCs w:val="18"/>
    </w:rPr>
  </w:style>
  <w:style w:type="paragraph" w:styleId="ConsPlusNonformat" w:customStyle="1">
    <w:name w:val="ConsPlusNonformat"/>
    <w:qFormat/>
    <w:rsid w:val="008c3caa"/>
    <w:pPr>
      <w:widowControl/>
      <w:bidi w:val="0"/>
      <w:jc w:val="left"/>
    </w:pPr>
    <w:rPr>
      <w:rFonts w:ascii="Courier New" w:hAnsi="Courier New" w:eastAsia="Times New Roman" w:cs="Courier New"/>
      <w:color w:val="00000A"/>
      <w:sz w:val="24"/>
      <w:szCs w:val="20"/>
      <w:lang w:val="ru-RU" w:eastAsia="ru-RU" w:bidi="ar-SA"/>
    </w:rPr>
  </w:style>
  <w:style w:type="paragraph" w:styleId="Style26" w:customStyle="1">
    <w:name w:val="style2"/>
    <w:basedOn w:val="Normal"/>
    <w:qFormat/>
    <w:rsid w:val="002300d9"/>
    <w:pPr>
      <w:spacing w:beforeAutospacing="1" w:afterAutospacing="1"/>
    </w:pPr>
    <w:rPr>
      <w:color w:val="000000"/>
    </w:rPr>
  </w:style>
  <w:style w:type="paragraph" w:styleId="Style110" w:customStyle="1">
    <w:name w:val="style1"/>
    <w:basedOn w:val="Normal"/>
    <w:qFormat/>
    <w:rsid w:val="002300d9"/>
    <w:pPr>
      <w:spacing w:beforeAutospacing="1" w:afterAutospacing="1"/>
    </w:pPr>
    <w:rPr>
      <w:color w:val="000000"/>
    </w:rPr>
  </w:style>
  <w:style w:type="paragraph" w:styleId="Msonormalcxspmiddle" w:customStyle="1">
    <w:name w:val="msonormalcxspmiddle"/>
    <w:basedOn w:val="Normal"/>
    <w:qFormat/>
    <w:rsid w:val="002300d9"/>
    <w:pPr>
      <w:spacing w:beforeAutospacing="1" w:afterAutospacing="1"/>
    </w:pPr>
    <w:rPr>
      <w:color w:val="000000"/>
    </w:rPr>
  </w:style>
  <w:style w:type="paragraph" w:styleId="BalloonText">
    <w:name w:val="Balloon Text"/>
    <w:basedOn w:val="Normal"/>
    <w:semiHidden/>
    <w:qFormat/>
    <w:rsid w:val="00485e7c"/>
    <w:pPr/>
    <w:rPr>
      <w:rFonts w:ascii="Tahoma" w:hAnsi="Tahoma" w:cs="Tahoma"/>
      <w:sz w:val="16"/>
      <w:szCs w:val="16"/>
    </w:rPr>
  </w:style>
  <w:style w:type="paragraph" w:styleId="NoSpacing">
    <w:name w:val="No Spacing"/>
    <w:uiPriority w:val="1"/>
    <w:qFormat/>
    <w:rsid w:val="00073eb4"/>
    <w:pPr>
      <w:widowControl/>
      <w:bidi w:val="0"/>
      <w:jc w:val="left"/>
    </w:pPr>
    <w:rPr>
      <w:rFonts w:ascii="Times New Roman" w:hAnsi="Times New Roman" w:eastAsia="Times New Roman" w:cs="Times New Roman"/>
      <w:color w:val="00000A"/>
      <w:sz w:val="24"/>
      <w:szCs w:val="24"/>
      <w:lang w:val="ru-RU" w:eastAsia="ru-RU" w:bidi="ar-SA"/>
    </w:rPr>
  </w:style>
  <w:style w:type="paragraph" w:styleId="Style27" w:customStyle="1">
    <w:name w:val="Знак"/>
    <w:basedOn w:val="Normal"/>
    <w:qFormat/>
    <w:rsid w:val="00b35b93"/>
    <w:pPr>
      <w:spacing w:beforeAutospacing="1" w:afterAutospacing="1"/>
    </w:pPr>
    <w:rPr>
      <w:rFonts w:ascii="Tahoma" w:hAnsi="Tahoma"/>
      <w:sz w:val="20"/>
      <w:szCs w:val="20"/>
      <w:lang w:val="en-US" w:eastAsia="en-US"/>
    </w:rPr>
  </w:style>
  <w:style w:type="paragraph" w:styleId="ConsNonformat" w:customStyle="1">
    <w:name w:val="ConsNonformat"/>
    <w:qFormat/>
    <w:rsid w:val="00502f0b"/>
    <w:pPr>
      <w:widowControl w:val="false"/>
      <w:bidi w:val="0"/>
      <w:ind w:right="19772" w:hanging="0"/>
      <w:jc w:val="left"/>
    </w:pPr>
    <w:rPr>
      <w:rFonts w:ascii="Courier New" w:hAnsi="Courier New" w:eastAsia="Times New Roman" w:cs="Courier New"/>
      <w:color w:val="00000A"/>
      <w:sz w:val="24"/>
      <w:szCs w:val="20"/>
      <w:lang w:val="ru-RU" w:eastAsia="ru-RU" w:bidi="ar-SA"/>
    </w:rPr>
  </w:style>
  <w:style w:type="paragraph" w:styleId="Style28" w:customStyle="1">
    <w:name w:val="Знак Знак Знак Знак Знак Знак Знак Знак Знак Знак Знак Знак Знак Знак Знак Знак Знак Знак Знак Знак Знак"/>
    <w:basedOn w:val="Normal"/>
    <w:qFormat/>
    <w:rsid w:val="004f2f04"/>
    <w:pPr>
      <w:spacing w:beforeAutospacing="1" w:afterAutospacing="1"/>
    </w:pPr>
    <w:rPr>
      <w:rFonts w:ascii="Tahoma" w:hAnsi="Tahoma"/>
      <w:sz w:val="20"/>
      <w:szCs w:val="20"/>
      <w:lang w:val="en-US" w:eastAsia="en-US"/>
    </w:rPr>
  </w:style>
  <w:style w:type="paragraph" w:styleId="BodyTextIndent3">
    <w:name w:val="Body Text Indent 3"/>
    <w:basedOn w:val="Normal"/>
    <w:link w:val="32"/>
    <w:qFormat/>
    <w:rsid w:val="00292543"/>
    <w:pPr>
      <w:spacing w:before="0" w:after="120"/>
      <w:ind w:left="283" w:hanging="0"/>
    </w:pPr>
    <w:rPr>
      <w:sz w:val="16"/>
      <w:szCs w:val="16"/>
    </w:rPr>
  </w:style>
  <w:style w:type="paragraph" w:styleId="Style31" w:customStyle="1">
    <w:name w:val="Style3"/>
    <w:basedOn w:val="Normal"/>
    <w:uiPriority w:val="99"/>
    <w:qFormat/>
    <w:rsid w:val="00de714e"/>
    <w:pPr>
      <w:widowControl w:val="false"/>
      <w:spacing w:lineRule="exact" w:line="290"/>
      <w:ind w:firstLine="662"/>
      <w:jc w:val="both"/>
    </w:pPr>
    <w:rPr/>
  </w:style>
  <w:style w:type="paragraph" w:styleId="Footnotetext">
    <w:name w:val="footnote text"/>
    <w:basedOn w:val="Normal"/>
    <w:link w:val="af3"/>
    <w:uiPriority w:val="99"/>
    <w:qFormat/>
    <w:rsid w:val="0072677f"/>
    <w:pPr>
      <w:spacing w:lineRule="auto" w:line="276" w:before="0" w:after="200"/>
    </w:pPr>
    <w:rPr>
      <w:rFonts w:ascii="Calibri" w:hAnsi="Calibri" w:eastAsia="Calibri"/>
      <w:sz w:val="20"/>
      <w:szCs w:val="20"/>
      <w:lang w:eastAsia="en-US"/>
    </w:rPr>
  </w:style>
  <w:style w:type="paragraph" w:styleId="Style29">
    <w:name w:val="Title"/>
    <w:basedOn w:val="Normal"/>
    <w:link w:val="af6"/>
    <w:qFormat/>
    <w:rsid w:val="00db54d2"/>
    <w:pPr>
      <w:spacing w:before="240" w:after="60"/>
      <w:jc w:val="center"/>
      <w:outlineLvl w:val="0"/>
    </w:pPr>
    <w:rPr>
      <w:rFonts w:ascii="Cambria" w:hAnsi="Cambria"/>
      <w:b/>
      <w:bCs/>
      <w:sz w:val="32"/>
      <w:szCs w:val="32"/>
    </w:rPr>
  </w:style>
  <w:style w:type="paragraph" w:styleId="TOCHeading">
    <w:name w:val="TOC Heading"/>
    <w:basedOn w:val="1"/>
    <w:uiPriority w:val="39"/>
    <w:semiHidden/>
    <w:unhideWhenUsed/>
    <w:qFormat/>
    <w:rsid w:val="006d1aa7"/>
    <w:pPr>
      <w:keepNext/>
      <w:keepLines/>
      <w:spacing w:lineRule="auto" w:line="276" w:beforeAutospacing="0" w:before="480" w:after="0"/>
    </w:pPr>
    <w:rPr>
      <w:rFonts w:ascii="Cambria" w:hAnsi="Cambria" w:cs="Times New Roman"/>
      <w:b/>
      <w:bCs/>
      <w:color w:val="365F91"/>
      <w:sz w:val="28"/>
      <w:szCs w:val="28"/>
    </w:rPr>
  </w:style>
  <w:style w:type="paragraph" w:styleId="34">
    <w:name w:val="TOC 3"/>
    <w:basedOn w:val="Normal"/>
    <w:autoRedefine/>
    <w:uiPriority w:val="39"/>
    <w:unhideWhenUsed/>
    <w:qFormat/>
    <w:rsid w:val="005f3fcf"/>
    <w:pPr>
      <w:tabs>
        <w:tab w:val="right" w:pos="9497" w:leader="dot"/>
      </w:tabs>
      <w:spacing w:lineRule="auto" w:line="276" w:before="0" w:after="100"/>
      <w:ind w:left="284" w:hanging="0"/>
    </w:pPr>
    <w:rPr>
      <w:sz w:val="28"/>
      <w:szCs w:val="28"/>
    </w:rPr>
  </w:style>
  <w:style w:type="paragraph" w:styleId="ListBullet4">
    <w:name w:val="List Bullet 4"/>
    <w:basedOn w:val="Normal"/>
    <w:qFormat/>
    <w:rsid w:val="00fd2c74"/>
    <w:pPr>
      <w:ind w:left="849" w:hanging="283"/>
    </w:pPr>
    <w:rPr>
      <w:sz w:val="28"/>
      <w:szCs w:val="20"/>
    </w:rPr>
  </w:style>
  <w:style w:type="paragraph" w:styleId="13" w:customStyle="1">
    <w:name w:val="Основной текст1"/>
    <w:basedOn w:val="Normal"/>
    <w:link w:val="af8"/>
    <w:qFormat/>
    <w:rsid w:val="000674fe"/>
    <w:pPr>
      <w:shd w:val="clear" w:color="auto" w:fill="FFFFFF"/>
      <w:spacing w:lineRule="exact" w:line="317" w:before="1020" w:after="0"/>
      <w:ind w:hanging="3440"/>
    </w:pPr>
    <w:rPr>
      <w:sz w:val="27"/>
      <w:szCs w:val="27"/>
    </w:rPr>
  </w:style>
  <w:style w:type="paragraph" w:styleId="35" w:customStyle="1">
    <w:name w:val="Заголовок №3"/>
    <w:basedOn w:val="Normal"/>
    <w:link w:val="35"/>
    <w:qFormat/>
    <w:rsid w:val="000674fe"/>
    <w:pPr>
      <w:shd w:val="clear" w:color="auto" w:fill="FFFFFF"/>
      <w:spacing w:lineRule="exact" w:line="317" w:before="240" w:after="0"/>
      <w:ind w:firstLine="700"/>
      <w:jc w:val="both"/>
      <w:outlineLvl w:val="2"/>
    </w:pPr>
    <w:rPr>
      <w:sz w:val="27"/>
      <w:szCs w:val="27"/>
    </w:rPr>
  </w:style>
  <w:style w:type="paragraph" w:styleId="61" w:customStyle="1">
    <w:name w:val="Основной текст (6)"/>
    <w:basedOn w:val="Normal"/>
    <w:link w:val="6"/>
    <w:qFormat/>
    <w:rsid w:val="000674fe"/>
    <w:pPr>
      <w:shd w:val="clear" w:color="auto" w:fill="FFFFFF"/>
      <w:spacing w:lineRule="auto" w:line="240"/>
    </w:pPr>
    <w:rPr>
      <w:rFonts w:ascii="Courier New" w:hAnsi="Courier New" w:eastAsia="Courier New" w:cs="Courier New"/>
      <w:sz w:val="13"/>
      <w:szCs w:val="13"/>
    </w:rPr>
  </w:style>
  <w:style w:type="paragraph" w:styleId="71" w:customStyle="1">
    <w:name w:val="Основной текст (7)"/>
    <w:basedOn w:val="Normal"/>
    <w:link w:val="7"/>
    <w:qFormat/>
    <w:rsid w:val="00ad50a6"/>
    <w:pPr>
      <w:shd w:val="clear" w:color="auto" w:fill="FFFFFF"/>
      <w:spacing w:lineRule="exact" w:line="322" w:before="240" w:after="0"/>
      <w:ind w:firstLine="700"/>
      <w:jc w:val="both"/>
    </w:pPr>
    <w:rPr>
      <w:sz w:val="27"/>
      <w:szCs w:val="27"/>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7BCC5D83A6630323709BB7CFBEF2B35A449DDCECA3CB16BC0B2BAF4D4D624D33AC65D8B81078E67Aw8U5O" TargetMode="External"/><Relationship Id="rId4" Type="http://schemas.openxmlformats.org/officeDocument/2006/relationships/hyperlink" Target="consultantplus://offline/ref=7BCC5D83A6630323709BB7CFBEF2B35A449DDCECA3CB16BC0B2BAF4D4D624D33AC65D8B81078E778w8UDO" TargetMode="External"/><Relationship Id="rId5" Type="http://schemas.openxmlformats.org/officeDocument/2006/relationships/hyperlink" Target="consultantplus://offline/ref=7BCC5D83A6630323709BB7CFBEF2B35A4794DFE4A6C016BC0B2BAF4D4Dw6U2O" TargetMode="External"/><Relationship Id="rId6" Type="http://schemas.openxmlformats.org/officeDocument/2006/relationships/hyperlink" Target="consultantplus://offline/ref=7BCC5D83A6630323709BB7CFBEF2B35A449DDCECA3CB16BC0B2BAF4D4D624D33AC65D8B81078E77Fw8UAO" TargetMode="External"/><Relationship Id="rId7" Type="http://schemas.openxmlformats.org/officeDocument/2006/relationships/hyperlink" Target="consultantplus://offline/ref=7BCC5D83A6630323709BB7CFBEF2B35A449DDCECA3CB16BC0B2BAF4D4D624D33AC65D8B81078E77Ew8UAO" TargetMode="External"/><Relationship Id="rId8" Type="http://schemas.openxmlformats.org/officeDocument/2006/relationships/hyperlink" Target="consultantplus://offline/ref=5FCFF1A2A01C426BFA14D8C22BD242516EAB0E36A6BCA4644701EBC1109C98449C894F138B7BCE66YBcCG" TargetMode="External"/><Relationship Id="rId9" Type="http://schemas.openxmlformats.org/officeDocument/2006/relationships/hyperlink" Target="consultantplus://offline/ref=5FCFF1A2A01C426BFA14D8C22BD242516DA20D3EA3B7A4644701EBC110Y9cCG" TargetMode="External"/><Relationship Id="rId10" Type="http://schemas.openxmlformats.org/officeDocument/2006/relationships/hyperlink" Target="consultantplus://offline/ref=5FCFF1A2A01C426BFA14D8C22BD242516EAB0E36A6BCA4644701EBC1109C98449C894F138B7BCE60YBcFG" TargetMode="External"/><Relationship Id="rId11" Type="http://schemas.openxmlformats.org/officeDocument/2006/relationships/hyperlink" Target="consultantplus://offline/ref=B4E78151C3AAAD803BF5C8054CBAFB8ED05203727DCDE4E37E81A2D4E18CD8F4095ED957560A9BD0V3e7G" TargetMode="External"/><Relationship Id="rId12" Type="http://schemas.openxmlformats.org/officeDocument/2006/relationships/hyperlink" Target="consultantplus://offline/ref=B4E78151C3AAAD803BF5C8054CBAFB8ED05203727DCDE4E37E81A2D4E18CD8F4095ED951V5e1G" TargetMode="External"/><Relationship Id="rId13" Type="http://schemas.openxmlformats.org/officeDocument/2006/relationships/hyperlink" Target="consultantplus://offline/ref=B4E78151C3AAAD803BF5C8054CBAFB8ED05203727DCDE4E37E81A2D4E18CD8F4095ED950V5e2G" TargetMode="External"/><Relationship Id="rId14" Type="http://schemas.openxmlformats.org/officeDocument/2006/relationships/hyperlink" Target="consultantplus://offline/ref=1C709A1A2FE17D7C04F4091D6CB22AFB33E65049ADE5EFFF05B67483CD02C5K" TargetMode="External"/><Relationship Id="rId15" Type="http://schemas.openxmlformats.org/officeDocument/2006/relationships/hyperlink" Target="consultantplus://offline/ref=190126A17CF6A77EDF63923EF2556637180EBCB314414073D513E421D8587C87D2CD4BF266HFm8E" TargetMode="External"/><Relationship Id="rId16" Type="http://schemas.openxmlformats.org/officeDocument/2006/relationships/hyperlink" Target="consultantplus://offline/ref=F6B8E4C45708BDCFD84BEA3DE1D04185E33C74795E4908FD537FC6BE9187FD81DBE3DD7C2A94E98777JBG" TargetMode="External"/><Relationship Id="rId17" Type="http://schemas.openxmlformats.org/officeDocument/2006/relationships/hyperlink" Target="consultantplus://offline/ref=F6B8E4C45708BDCFD84BEA3DE1D04185E33C74795E4908FD537FC6BE9178J7G" TargetMode="External"/><Relationship Id="rId18" Type="http://schemas.openxmlformats.org/officeDocument/2006/relationships/hyperlink" Target="consultantplus://offline/ref=F6B8E4C45708BDCFD84BEA3DE1D04185E33C74795E4908FD537FC6BE9187FD81DBE3DD7C2A94E98377J5G" TargetMode="External"/><Relationship Id="rId19" Type="http://schemas.openxmlformats.org/officeDocument/2006/relationships/hyperlink" Target="consultantplus://offline/ref=F6B8E4C45708BDCFD84BEA3DE1D04185E33C74795D4D08FD537FC6BE9187FD81DBE3DD792A79J1G" TargetMode="External"/><Relationship Id="rId20" Type="http://schemas.openxmlformats.org/officeDocument/2006/relationships/hyperlink" Target="consultantplus://offline/ref=F6B8E4C45708BDCFD84BEA3DE1D04185E33C74795D4D08FD537FC6BE9187FD81DBE3DD792A79J5G" TargetMode="External"/><Relationship Id="rId21" Type="http://schemas.openxmlformats.org/officeDocument/2006/relationships/hyperlink" Target="consultantplus://offline/ref=F6B8E4C45708BDCFD84BEA3DE1D04185E33C74795D4D08FD537FC6BE9178J7G" TargetMode="External"/><Relationship Id="rId22" Type="http://schemas.openxmlformats.org/officeDocument/2006/relationships/hyperlink" Target="consultantplus://offline/ref=F6B8E4C45708BDCFD84BEA3DE1D04185E33C74795D4D08FD537FC6BE9187FD81DBE3DD792879JCG" TargetMode="External"/><Relationship Id="rId23" Type="http://schemas.openxmlformats.org/officeDocument/2006/relationships/hyperlink" Target="consultantplus://offline/ref=F6B8E4C45708BDCFD84BEA3DE1D04185E33C74795D4D08FD537FC6BE9187FD81DBE3DD792879JDG" TargetMode="External"/><Relationship Id="rId24" Type="http://schemas.openxmlformats.org/officeDocument/2006/relationships/hyperlink" Target="consultantplus://offline/ref=F6B8E4C45708BDCFD84BEA3DE1D04185E33C74795D4D08FD537FC6BE9187FD81DBE3DD792879J5G" TargetMode="External"/><Relationship Id="rId25" Type="http://schemas.openxmlformats.org/officeDocument/2006/relationships/hyperlink" Target="consultantplus://offline/ref=F6B8E4C45708BDCFD84BEA3DE1D04185E33C74795D4D08FD537FC6BE9187FD81DBE3DD792879J5G" TargetMode="External"/><Relationship Id="rId26" Type="http://schemas.openxmlformats.org/officeDocument/2006/relationships/hyperlink" Target="consultantplus://offline/ref=842DE541851AC8DB18FD9100086E83C45343F87E92194A2B902A94E4517A2365F771B983FCA0197D2CE3I" TargetMode="External"/><Relationship Id="rId27" Type="http://schemas.openxmlformats.org/officeDocument/2006/relationships/hyperlink" Target="consultantplus://offline/ref=842DE541851AC8DB18FD9100086E83C45343FD7B96174A2B902A94E4517A2365F771B983FCA0197B2CEDI" TargetMode="External"/><Relationship Id="rId28" Type="http://schemas.openxmlformats.org/officeDocument/2006/relationships/hyperlink" Target="consultantplus://offline/ref=F6B8E4C45708BDCFD84BEA3DE1D04185E33C74795E4908FD537FC6BE9178J7G" TargetMode="External"/><Relationship Id="rId29" Type="http://schemas.openxmlformats.org/officeDocument/2006/relationships/hyperlink" Target="consultantplus://offline/ref=F6B8E4C45708BDCFD84BEA3DE1D04185E33C74795D4D08FD537FC6BE9178J7G" TargetMode="External"/><Relationship Id="rId30" Type="http://schemas.openxmlformats.org/officeDocument/2006/relationships/hyperlink" Target="consultantplus://offline/ref=F6B8E4C45708BDCFD84BEA3DE1D04185E33C74795D4D08FD537FC6BE9187FD81DBE3DD792A79J5G" TargetMode="External"/><Relationship Id="rId31" Type="http://schemas.openxmlformats.org/officeDocument/2006/relationships/hyperlink" Target="consultantplus://offline/ref=76FE12567E0A37D5262C54597CDFEF47AC04A3A14C388DF20DF4550719z4L2G" TargetMode="External"/><Relationship Id="rId32" Type="http://schemas.openxmlformats.org/officeDocument/2006/relationships/hyperlink" Target="consultantplus://offline/ref=2AAE6914D6B428046C32819C613DB592A180768BC4BBE9A447F87FE3739DFA36BD826592B4s7MDL" TargetMode="External"/><Relationship Id="rId33" Type="http://schemas.openxmlformats.org/officeDocument/2006/relationships/hyperlink" Target="consultantplus://offline/ref=2AAE6914D6B428046C32819C613DB592A180768BC4BBE9A447F87FE3739DFA36BD826592B4s7MFL" TargetMode="External"/><Relationship Id="rId34" Type="http://schemas.openxmlformats.org/officeDocument/2006/relationships/header" Target="header1.xm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Relationship Id="rId3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301B-A568-4C4A-8CD4-FED4C166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Application>LibreOffice/5.2.0.4$Windows_x86 LibreOffice_project/066b007f5ebcc236395c7d282ba488bca6720265</Application>
  <Pages>14</Pages>
  <Words>4318</Words>
  <Characters>32031</Characters>
  <CharactersWithSpaces>36445</CharactersWithSpaces>
  <Paragraphs>147</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2017-06-14T08:58:00Z</dcterms:created>
  <dc:creator>Пронина Е.Ю.</dc:creator>
  <dc:description/>
  <dc:language>ru-RU</dc:language>
  <cp:lastModifiedBy/>
  <cp:lastPrinted>2017-06-19T11:38:03Z</cp:lastPrinted>
  <dcterms:modified xsi:type="dcterms:W3CDTF">2017-06-19T11:45:10Z</dcterms:modified>
  <cp:revision>20</cp:revision>
  <dc:subject/>
  <dc:title>Анализ практики государственного контроля за соблюдением антимонопольного законодательства в том числе в ходе взаимодействия государства и бизнеса при реализации Стратегии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