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center"/>
        <w:rPr>
          <w:rFonts w:ascii="Times New Roman" w:hAnsi="Times New Roman"/>
          <w:sz w:val="27"/>
          <w:szCs w:val="27"/>
        </w:rPr>
      </w:pPr>
      <w:bookmarkStart w:id="0" w:name="_GoBack"/>
      <w:bookmarkEnd w:id="0"/>
      <w:r>
        <w:rPr>
          <w:b/>
          <w:sz w:val="24"/>
          <w:szCs w:val="24"/>
        </w:rPr>
        <w:t xml:space="preserve">Доклад в рамках проведения публичных мероприятий результатов контрольно-надзорной деятельности Управления Федеральной антимонопольной службы по Ханты-Мансийскому автономному округу - Югре </w:t>
      </w:r>
    </w:p>
    <w:p>
      <w:pPr>
        <w:pStyle w:val="Normal"/>
        <w:widowControl w:val="false"/>
        <w:spacing w:lineRule="auto" w:line="360" w:before="0" w:after="0"/>
        <w:jc w:val="center"/>
        <w:rPr>
          <w:rFonts w:ascii="Times New Roman" w:hAnsi="Times New Roman"/>
          <w:sz w:val="27"/>
          <w:szCs w:val="27"/>
        </w:rPr>
      </w:pPr>
      <w:r>
        <w:rPr>
          <w:b/>
          <w:sz w:val="24"/>
          <w:szCs w:val="24"/>
        </w:rPr>
        <w:t xml:space="preserve">«Практика по контролю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pPr>
        <w:pStyle w:val="Normal"/>
        <w:spacing w:lineRule="auto" w:line="360" w:before="0" w:after="0"/>
        <w:jc w:val="both"/>
        <w:rPr>
          <w:rFonts w:ascii="Times New Roman" w:hAnsi="Times New Roman"/>
          <w:sz w:val="24"/>
          <w:szCs w:val="24"/>
        </w:rPr>
      </w:pPr>
      <w:r>
        <w:rPr>
          <w:sz w:val="24"/>
          <w:szCs w:val="24"/>
        </w:rPr>
      </w:r>
    </w:p>
    <w:p>
      <w:pPr>
        <w:pStyle w:val="Normal"/>
        <w:spacing w:lineRule="auto" w:line="360" w:before="0" w:after="0"/>
        <w:jc w:val="both"/>
        <w:rPr>
          <w:rFonts w:ascii="Times New Roman" w:hAnsi="Times New Roman"/>
          <w:sz w:val="24"/>
          <w:szCs w:val="24"/>
        </w:rPr>
      </w:pPr>
      <w:r>
        <w:rPr>
          <w:rFonts w:eastAsia="MS Mincho"/>
          <w:sz w:val="24"/>
          <w:szCs w:val="24"/>
        </w:rPr>
        <w:t xml:space="preserve">          </w:t>
      </w:r>
      <w:r>
        <w:rPr>
          <w:rFonts w:eastAsia="MS Mincho"/>
          <w:sz w:val="24"/>
          <w:szCs w:val="24"/>
        </w:rPr>
        <w:t>В 2017 году реализация государственной политики в области контроля за соблюдением законодательства Российской Федерации о контрактной системе в сфере закупок Ханты-Мансийским УФАС России проводилась по следующим направлениям:</w:t>
      </w:r>
    </w:p>
    <w:p>
      <w:pPr>
        <w:pStyle w:val="Normal"/>
        <w:spacing w:lineRule="auto" w:line="360" w:before="0" w:after="0"/>
        <w:ind w:firstLine="539"/>
        <w:jc w:val="both"/>
        <w:rPr>
          <w:rFonts w:ascii="Times New Roman" w:hAnsi="Times New Roman"/>
          <w:sz w:val="27"/>
          <w:szCs w:val="27"/>
        </w:rPr>
      </w:pPr>
      <w:r>
        <w:rPr>
          <w:b/>
          <w:sz w:val="24"/>
          <w:szCs w:val="24"/>
        </w:rPr>
        <w:t xml:space="preserve">    </w:t>
      </w:r>
      <w:r>
        <w:rPr>
          <w:b/>
          <w:i/>
          <w:sz w:val="24"/>
          <w:szCs w:val="24"/>
        </w:rPr>
        <w:t>Рассмотрение жалоб в рамках главы 6 Закона о контрактной системе.</w:t>
      </w:r>
    </w:p>
    <w:p>
      <w:pPr>
        <w:pStyle w:val="Normal"/>
        <w:spacing w:lineRule="auto" w:line="360" w:before="0" w:after="0"/>
        <w:ind w:firstLine="539"/>
        <w:jc w:val="both"/>
        <w:rPr>
          <w:rFonts w:ascii="Times New Roman" w:hAnsi="Times New Roman"/>
          <w:sz w:val="24"/>
          <w:szCs w:val="24"/>
        </w:rPr>
      </w:pPr>
      <w:r>
        <w:rPr>
          <w:sz w:val="24"/>
          <w:szCs w:val="24"/>
        </w:rPr>
      </w:r>
    </w:p>
    <w:p>
      <w:pPr>
        <w:pStyle w:val="Normal"/>
        <w:shd w:val="clear" w:color="auto" w:fill="FFFFFF"/>
        <w:spacing w:lineRule="auto" w:line="360" w:before="0" w:after="0"/>
        <w:ind w:firstLine="709"/>
        <w:jc w:val="both"/>
        <w:rPr>
          <w:rFonts w:ascii="Times New Roman" w:hAnsi="Times New Roman"/>
          <w:sz w:val="27"/>
          <w:szCs w:val="27"/>
        </w:rPr>
      </w:pPr>
      <w:r>
        <w:rPr>
          <w:rFonts w:eastAsia="Cambria"/>
          <w:sz w:val="24"/>
          <w:szCs w:val="24"/>
          <w:lang w:eastAsia="en-US"/>
        </w:rPr>
        <w:t xml:space="preserve">  </w:t>
      </w:r>
      <w:r>
        <w:rPr>
          <w:rFonts w:eastAsia="Cambria"/>
          <w:sz w:val="24"/>
          <w:szCs w:val="24"/>
          <w:lang w:eastAsia="en-US"/>
        </w:rPr>
        <w:t xml:space="preserve">В целях защиты прав и законных интересов участников закупок ФАС России и его территориальные органы осуществляет рассмотрение жалоб, поданных в соответствии с главой 6 </w:t>
      </w:r>
      <w:r>
        <w:rPr>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eastAsia="Cambria"/>
          <w:sz w:val="24"/>
          <w:szCs w:val="24"/>
          <w:lang w:eastAsia="en-US"/>
        </w:rPr>
        <w:t>.</w:t>
      </w:r>
    </w:p>
    <w:p>
      <w:pPr>
        <w:pStyle w:val="Normal"/>
        <w:shd w:val="clear" w:color="auto" w:fill="FFFFFF"/>
        <w:spacing w:lineRule="auto" w:line="360" w:before="0" w:after="0"/>
        <w:ind w:firstLine="709"/>
        <w:jc w:val="both"/>
        <w:rPr>
          <w:rFonts w:ascii="Times New Roman" w:hAnsi="Times New Roman"/>
          <w:sz w:val="24"/>
          <w:szCs w:val="24"/>
        </w:rPr>
      </w:pPr>
      <w:r>
        <w:rPr>
          <w:rFonts w:eastAsia="Cambria"/>
          <w:sz w:val="24"/>
          <w:szCs w:val="24"/>
          <w:lang w:eastAsia="en-US"/>
        </w:rPr>
        <w:t xml:space="preserve">За 9 месяцев 2017 года в </w:t>
      </w:r>
      <w:r>
        <w:rPr>
          <w:rFonts w:eastAsia="MS Mincho"/>
          <w:sz w:val="24"/>
          <w:szCs w:val="24"/>
          <w:lang w:eastAsia="en-US"/>
        </w:rPr>
        <w:t>Ханты-Мансийское</w:t>
      </w:r>
      <w:r>
        <w:rPr>
          <w:rFonts w:eastAsia="Cambria"/>
          <w:sz w:val="24"/>
          <w:szCs w:val="24"/>
          <w:lang w:eastAsia="en-US"/>
        </w:rPr>
        <w:t xml:space="preserve"> УФАС России поступило </w:t>
      </w:r>
      <w:r>
        <w:rPr>
          <w:rFonts w:eastAsia="Cambria"/>
          <w:b/>
          <w:sz w:val="24"/>
          <w:szCs w:val="24"/>
          <w:lang w:eastAsia="en-US"/>
        </w:rPr>
        <w:t>698</w:t>
      </w:r>
      <w:r>
        <w:rPr>
          <w:rFonts w:eastAsia="Cambria"/>
          <w:sz w:val="24"/>
          <w:szCs w:val="24"/>
          <w:lang w:eastAsia="en-US"/>
        </w:rPr>
        <w:t xml:space="preserve"> жалоб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в соответствии с требованиями Закона о контрактной системе. </w:t>
      </w:r>
    </w:p>
    <w:p>
      <w:pPr>
        <w:pStyle w:val="Normal"/>
        <w:shd w:val="clear" w:color="auto" w:fill="FFFFFF"/>
        <w:spacing w:lineRule="auto" w:line="360" w:before="0" w:after="0"/>
        <w:ind w:firstLine="709"/>
        <w:jc w:val="both"/>
        <w:rPr>
          <w:rFonts w:ascii="Times New Roman" w:hAnsi="Times New Roman"/>
          <w:sz w:val="24"/>
          <w:szCs w:val="24"/>
        </w:rPr>
      </w:pPr>
      <w:r>
        <w:rPr>
          <w:rFonts w:eastAsia="Cambria"/>
          <w:sz w:val="24"/>
          <w:szCs w:val="24"/>
          <w:lang w:eastAsia="en-US"/>
        </w:rPr>
        <w:t xml:space="preserve">Из поступивших жалоб, </w:t>
      </w:r>
      <w:r>
        <w:rPr>
          <w:rFonts w:eastAsia="Cambria"/>
          <w:b/>
          <w:sz w:val="24"/>
          <w:szCs w:val="24"/>
          <w:lang w:eastAsia="en-US"/>
        </w:rPr>
        <w:t>47</w:t>
      </w:r>
      <w:r>
        <w:rPr>
          <w:rFonts w:eastAsia="Cambria"/>
          <w:sz w:val="24"/>
          <w:szCs w:val="24"/>
          <w:lang w:eastAsia="en-US"/>
        </w:rPr>
        <w:t xml:space="preserve"> поданы в </w:t>
      </w:r>
      <w:r>
        <w:rPr>
          <w:rFonts w:eastAsia="Cambria"/>
          <w:spacing w:val="0"/>
          <w:sz w:val="24"/>
          <w:szCs w:val="24"/>
          <w:lang w:eastAsia="en-US"/>
        </w:rPr>
        <w:t xml:space="preserve">отношении закупок, осуществляемых для обеспечения федеральных нужд , </w:t>
      </w:r>
      <w:r>
        <w:rPr>
          <w:rFonts w:eastAsia="Cambria"/>
          <w:b/>
          <w:spacing w:val="0"/>
          <w:sz w:val="24"/>
          <w:szCs w:val="24"/>
          <w:lang w:eastAsia="en-US"/>
        </w:rPr>
        <w:t>302</w:t>
      </w:r>
      <w:r>
        <w:rPr>
          <w:rFonts w:eastAsia="Cambria"/>
          <w:spacing w:val="0"/>
          <w:sz w:val="24"/>
          <w:szCs w:val="24"/>
          <w:lang w:eastAsia="en-US"/>
        </w:rPr>
        <w:t xml:space="preserve"> – </w:t>
      </w:r>
      <w:r>
        <w:rPr>
          <w:rFonts w:eastAsia="Cambria"/>
          <w:sz w:val="24"/>
          <w:szCs w:val="24"/>
          <w:lang w:eastAsia="en-US"/>
        </w:rPr>
        <w:t xml:space="preserve">для нужд субъектов Российской Федерации </w:t>
      </w:r>
      <w:r>
        <w:rPr>
          <w:rFonts w:eastAsia="Cambria"/>
          <w:spacing w:val="0"/>
          <w:sz w:val="24"/>
          <w:szCs w:val="24"/>
          <w:lang w:eastAsia="en-US"/>
        </w:rPr>
        <w:t xml:space="preserve">, </w:t>
      </w:r>
      <w:r>
        <w:rPr>
          <w:rFonts w:eastAsia="Cambria"/>
          <w:b/>
          <w:spacing w:val="0"/>
          <w:sz w:val="24"/>
          <w:szCs w:val="24"/>
          <w:lang w:eastAsia="en-US"/>
        </w:rPr>
        <w:t>349</w:t>
      </w:r>
      <w:r>
        <w:rPr>
          <w:rFonts w:eastAsia="Cambria"/>
          <w:sz w:val="24"/>
          <w:szCs w:val="24"/>
          <w:lang w:eastAsia="en-US"/>
        </w:rPr>
        <w:t xml:space="preserve"> для муниципальных нужд</w:t>
      </w:r>
    </w:p>
    <w:p>
      <w:pPr>
        <w:pStyle w:val="Normal"/>
        <w:spacing w:lineRule="auto" w:line="360" w:before="0" w:after="0"/>
        <w:ind w:firstLine="539"/>
        <w:jc w:val="both"/>
        <w:rPr>
          <w:rFonts w:ascii="Times New Roman" w:hAnsi="Times New Roman"/>
          <w:sz w:val="24"/>
          <w:szCs w:val="24"/>
        </w:rPr>
      </w:pPr>
      <w:r>
        <w:rPr>
          <w:rFonts w:eastAsia="Cambria"/>
          <w:sz w:val="24"/>
          <w:szCs w:val="24"/>
          <w:lang w:eastAsia="en-US"/>
        </w:rPr>
        <w:t xml:space="preserve">  </w:t>
      </w:r>
      <w:r>
        <w:rPr>
          <w:rFonts w:eastAsia="Cambria"/>
          <w:sz w:val="24"/>
          <w:szCs w:val="24"/>
          <w:lang w:eastAsia="en-US"/>
        </w:rPr>
        <w:t>На основании части 11 статьи 105 Закона о контрактной системе 134 жалобы возвращены заявителям без рассмотрения по существу. Кроме того, на основании части 15 статьи 105 Закона о контрактной системе 44 жалобы отозваны заявителями.</w:t>
      </w:r>
    </w:p>
    <w:p>
      <w:pPr>
        <w:pStyle w:val="Normal"/>
        <w:spacing w:lineRule="auto" w:line="360" w:before="0" w:after="0"/>
        <w:ind w:firstLine="709"/>
        <w:jc w:val="both"/>
        <w:rPr>
          <w:rFonts w:ascii="Times New Roman" w:hAnsi="Times New Roman"/>
          <w:sz w:val="24"/>
          <w:szCs w:val="24"/>
        </w:rPr>
      </w:pPr>
      <w:r>
        <w:rPr>
          <w:rFonts w:eastAsia="Cambria"/>
          <w:sz w:val="24"/>
          <w:szCs w:val="24"/>
          <w:lang w:eastAsia="en-US"/>
        </w:rPr>
        <w:t xml:space="preserve">В результате рассмотрения жалоб выдано </w:t>
      </w:r>
      <w:r>
        <w:rPr>
          <w:rFonts w:eastAsia="Cambria"/>
          <w:b/>
          <w:sz w:val="24"/>
          <w:szCs w:val="24"/>
          <w:lang w:eastAsia="en-US"/>
        </w:rPr>
        <w:t>143</w:t>
      </w:r>
      <w:r>
        <w:rPr>
          <w:rFonts w:eastAsia="Cambria"/>
          <w:sz w:val="24"/>
          <w:szCs w:val="24"/>
          <w:lang w:eastAsia="en-US"/>
        </w:rPr>
        <w:t xml:space="preserve"> предписания об устранении выявленных нарушений законодательства Российской Федерации о контрактной системе в сфере закупок, которые были исполнены подконтрольными субъектами </w:t>
      </w:r>
      <w:r>
        <w:rPr>
          <w:sz w:val="24"/>
          <w:szCs w:val="24"/>
        </w:rPr>
        <w:t>в полном объеме и в установленные сроки</w:t>
      </w:r>
    </w:p>
    <w:p>
      <w:pPr>
        <w:pStyle w:val="Normal"/>
        <w:spacing w:lineRule="auto" w:line="360" w:before="0" w:after="0"/>
        <w:jc w:val="both"/>
        <w:rPr>
          <w:rFonts w:ascii="Times New Roman" w:hAnsi="Times New Roman"/>
          <w:sz w:val="24"/>
          <w:szCs w:val="24"/>
        </w:rPr>
      </w:pPr>
      <w:r>
        <w:rPr>
          <w:b/>
          <w:i/>
          <w:sz w:val="24"/>
          <w:szCs w:val="24"/>
        </w:rPr>
        <w:t xml:space="preserve">      </w:t>
      </w:r>
      <w:r>
        <w:rPr>
          <w:b/>
          <w:i/>
          <w:sz w:val="24"/>
          <w:szCs w:val="24"/>
        </w:rPr>
        <w:t>Осуществление плановых и внеплановых проверок</w:t>
      </w:r>
    </w:p>
    <w:p>
      <w:pPr>
        <w:pStyle w:val="Normal"/>
        <w:spacing w:lineRule="auto" w:line="360" w:before="0" w:after="0"/>
        <w:ind w:firstLine="283"/>
        <w:jc w:val="both"/>
        <w:rPr>
          <w:rFonts w:ascii="Times New Roman" w:hAnsi="Times New Roman"/>
          <w:sz w:val="24"/>
          <w:szCs w:val="24"/>
        </w:rPr>
      </w:pPr>
      <w:r>
        <w:rPr>
          <w:sz w:val="24"/>
          <w:szCs w:val="24"/>
        </w:rPr>
        <w:t xml:space="preserve">    </w:t>
      </w:r>
      <w:r>
        <w:rPr>
          <w:sz w:val="24"/>
          <w:szCs w:val="24"/>
        </w:rPr>
        <w:t xml:space="preserve">В соответствии с ч. 3 статьи 99 Закона о контрактной системе осуществлено </w:t>
      </w:r>
      <w:r>
        <w:rPr>
          <w:b/>
          <w:sz w:val="24"/>
          <w:szCs w:val="24"/>
        </w:rPr>
        <w:t>107</w:t>
      </w:r>
      <w:r>
        <w:rPr>
          <w:sz w:val="24"/>
          <w:szCs w:val="24"/>
        </w:rPr>
        <w:t xml:space="preserve"> внеплановых контрольных мероприятия </w:t>
      </w:r>
      <w:r>
        <w:rPr>
          <w:rFonts w:eastAsia="Cambria"/>
          <w:sz w:val="24"/>
          <w:szCs w:val="24"/>
          <w:lang w:eastAsia="en-US"/>
        </w:rPr>
        <w:t>проверено 107 процедуры определения поставщика (подрядчика, исполнителя), из которых в  50 процедурах выявлены нарушения. По результатам проверок выдано 40 предписания об устранении нарушений законодательства Российской Федерации о контрактной системе в сфере закупок.</w:t>
      </w:r>
    </w:p>
    <w:p>
      <w:pPr>
        <w:pStyle w:val="Normal"/>
        <w:spacing w:lineRule="auto" w:line="360" w:before="0" w:after="0"/>
        <w:ind w:firstLine="709"/>
        <w:jc w:val="both"/>
        <w:rPr>
          <w:rFonts w:ascii="Times New Roman" w:hAnsi="Times New Roman"/>
          <w:sz w:val="24"/>
          <w:szCs w:val="24"/>
        </w:rPr>
      </w:pPr>
      <w:r>
        <w:rPr>
          <w:b/>
          <w:i/>
          <w:sz w:val="24"/>
          <w:szCs w:val="24"/>
        </w:rPr>
        <w:t>Административная практика</w:t>
      </w:r>
    </w:p>
    <w:p>
      <w:pPr>
        <w:pStyle w:val="Normal"/>
        <w:spacing w:lineRule="auto" w:line="360" w:before="0" w:after="0"/>
        <w:ind w:firstLine="709"/>
        <w:jc w:val="both"/>
        <w:rPr>
          <w:rFonts w:ascii="Times New Roman" w:hAnsi="Times New Roman"/>
          <w:sz w:val="24"/>
          <w:szCs w:val="24"/>
        </w:rPr>
      </w:pPr>
      <w:r>
        <w:rPr>
          <w:sz w:val="24"/>
          <w:szCs w:val="24"/>
        </w:rPr>
        <w:t xml:space="preserve">За 9 месяцев 2017 года в отношении должностных лиц заказчиков, в том числе членов комиссий, работников контрактных служб, контрактных управляющих вынесено </w:t>
      </w:r>
      <w:r>
        <w:rPr>
          <w:b/>
          <w:sz w:val="24"/>
          <w:szCs w:val="24"/>
        </w:rPr>
        <w:t>201</w:t>
      </w:r>
      <w:r>
        <w:rPr>
          <w:sz w:val="24"/>
          <w:szCs w:val="24"/>
        </w:rPr>
        <w:t xml:space="preserve"> постановлени</w:t>
      </w:r>
      <w:r>
        <w:rPr>
          <w:sz w:val="24"/>
          <w:szCs w:val="24"/>
          <w:lang w:val="ru-RU"/>
        </w:rPr>
        <w:t>е</w:t>
      </w:r>
      <w:r>
        <w:rPr>
          <w:sz w:val="24"/>
          <w:szCs w:val="24"/>
        </w:rPr>
        <w:t xml:space="preserve"> о назначении административных наказаний за нарушение  законодательства о контрактной системе в сфере закупок товаров работ, услуг для государственных и муниципальных нужд по статьям 7.29.-7.32., ч. 7 ст. 19.2, 19.7.2, 20.25 КоАП РФ</w:t>
      </w:r>
    </w:p>
    <w:p>
      <w:pPr>
        <w:pStyle w:val="Normal"/>
        <w:spacing w:lineRule="auto" w:line="360" w:before="0" w:after="0"/>
        <w:ind w:firstLine="709"/>
        <w:jc w:val="both"/>
        <w:rPr>
          <w:rFonts w:ascii="Times New Roman" w:hAnsi="Times New Roman"/>
          <w:sz w:val="24"/>
          <w:szCs w:val="24"/>
        </w:rPr>
      </w:pPr>
      <w:r>
        <w:rPr>
          <w:sz w:val="24"/>
          <w:szCs w:val="24"/>
        </w:rPr>
        <w:t xml:space="preserve">Всего за указанный период наложено административных штрафов  на </w:t>
      </w:r>
      <w:r>
        <w:rPr>
          <w:b/>
          <w:sz w:val="24"/>
          <w:szCs w:val="24"/>
        </w:rPr>
        <w:t>сумму 4 млн 160 тыс.</w:t>
      </w:r>
      <w:r>
        <w:rPr>
          <w:sz w:val="24"/>
          <w:szCs w:val="24"/>
        </w:rPr>
        <w:t xml:space="preserve"> рублей. Исполнено (уплачено) административных штрафов должностными лицами  по постановлениям, принятым в 2017 году в сумме  </w:t>
      </w:r>
      <w:r>
        <w:rPr>
          <w:b/>
          <w:bCs/>
          <w:sz w:val="24"/>
          <w:szCs w:val="24"/>
        </w:rPr>
        <w:t>1</w:t>
      </w:r>
      <w:r>
        <w:rPr>
          <w:b/>
          <w:sz w:val="24"/>
          <w:szCs w:val="24"/>
        </w:rPr>
        <w:t xml:space="preserve"> млн 843 тыс. рублей</w:t>
      </w:r>
    </w:p>
    <w:p>
      <w:pPr>
        <w:pStyle w:val="Normal"/>
        <w:widowControl w:val="false"/>
        <w:spacing w:lineRule="auto" w:line="360" w:before="0" w:after="0"/>
        <w:ind w:firstLine="539"/>
        <w:jc w:val="both"/>
        <w:rPr>
          <w:rFonts w:ascii="Times New Roman" w:hAnsi="Times New Roman"/>
          <w:sz w:val="24"/>
          <w:szCs w:val="24"/>
        </w:rPr>
      </w:pPr>
      <w:r>
        <w:rPr>
          <w:sz w:val="24"/>
          <w:szCs w:val="24"/>
        </w:rPr>
      </w:r>
    </w:p>
    <w:p>
      <w:pPr>
        <w:pStyle w:val="Normal"/>
        <w:widowControl w:val="false"/>
        <w:spacing w:lineRule="auto" w:line="360" w:before="0" w:after="0"/>
        <w:ind w:firstLine="539"/>
        <w:jc w:val="center"/>
        <w:rPr>
          <w:rFonts w:ascii="Times New Roman" w:hAnsi="Times New Roman"/>
          <w:b/>
          <w:b/>
          <w:bCs/>
          <w:sz w:val="24"/>
          <w:szCs w:val="24"/>
        </w:rPr>
      </w:pPr>
      <w:r>
        <w:rPr>
          <w:b/>
          <w:bCs/>
          <w:sz w:val="24"/>
          <w:szCs w:val="24"/>
        </w:rPr>
        <w:t>Типичные нарушения законодательства о контрактной системе.</w:t>
      </w:r>
    </w:p>
    <w:p>
      <w:pPr>
        <w:pStyle w:val="Normal"/>
        <w:spacing w:lineRule="auto" w:line="360" w:before="0" w:after="0"/>
        <w:jc w:val="both"/>
        <w:rPr>
          <w:rFonts w:ascii="Times New Roman" w:hAnsi="Times New Roman"/>
          <w:sz w:val="24"/>
          <w:szCs w:val="24"/>
        </w:rPr>
      </w:pPr>
      <w:r>
        <w:rPr>
          <w:rFonts w:eastAsia="Calibri" w:cs="Times New Roman"/>
          <w:b/>
          <w:bCs/>
          <w:i w:val="false"/>
          <w:iCs w:val="false"/>
          <w:caps w:val="false"/>
          <w:smallCaps w:val="false"/>
          <w:strike w:val="false"/>
          <w:dstrike w:val="false"/>
          <w:color w:val="000000"/>
          <w:sz w:val="24"/>
          <w:szCs w:val="24"/>
          <w:u w:val="none"/>
          <w:lang w:val="ru-RU" w:bidi="ar-SA"/>
        </w:rPr>
        <w:tab/>
      </w:r>
      <w:r>
        <w:rPr>
          <w:rFonts w:eastAsia="Calibri" w:cs="Times New Roman"/>
          <w:b/>
          <w:bCs/>
          <w:i w:val="false"/>
          <w:iCs w:val="false"/>
          <w:caps w:val="false"/>
          <w:smallCaps w:val="false"/>
          <w:strike w:val="false"/>
          <w:dstrike w:val="false"/>
          <w:color w:val="000000"/>
          <w:sz w:val="24"/>
          <w:szCs w:val="24"/>
          <w:u w:val="none"/>
          <w:lang w:val="en-US" w:bidi="ar-SA"/>
        </w:rPr>
        <w:t xml:space="preserve">1. </w:t>
      </w:r>
      <w:r>
        <w:rPr>
          <w:rFonts w:eastAsia="Calibri" w:cs="Times New Roman"/>
          <w:b/>
          <w:bCs/>
          <w:i w:val="false"/>
          <w:iCs w:val="false"/>
          <w:caps w:val="false"/>
          <w:smallCaps w:val="false"/>
          <w:strike w:val="false"/>
          <w:dstrike w:val="false"/>
          <w:color w:val="000000"/>
          <w:sz w:val="24"/>
          <w:szCs w:val="24"/>
          <w:u w:val="none"/>
          <w:lang w:val="ru-RU" w:bidi="ar-SA"/>
        </w:rPr>
        <w:t>При проведении закупок на оказание услуг по охране и обеспечению общественного порядка в общеобразовательных учреждениях участник должен представить копию лицензии на право осуществления охранной деятельности (частная охрана) с обязательным разрешенным видом услуг по охране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РФ «О частной детективной и охранной деятельности в Российской Федерации».</w:t>
      </w:r>
    </w:p>
    <w:p>
      <w:pPr>
        <w:pStyle w:val="Normal"/>
        <w:spacing w:lineRule="auto" w:line="360" w:before="0" w:after="0"/>
        <w:jc w:val="both"/>
        <w:rPr>
          <w:rFonts w:ascii="Times New Roman" w:hAnsi="Times New Roman"/>
          <w:sz w:val="24"/>
          <w:szCs w:val="24"/>
        </w:rPr>
      </w:pPr>
      <w:r>
        <w:rPr>
          <w:rFonts w:eastAsia="Calibri" w:cs="Times New Roman"/>
          <w:b w:val="false"/>
          <w:bCs/>
          <w:i w:val="false"/>
          <w:iCs w:val="false"/>
          <w:caps w:val="false"/>
          <w:smallCaps w:val="false"/>
          <w:strike w:val="false"/>
          <w:dstrike w:val="false"/>
          <w:color w:val="000000"/>
          <w:sz w:val="24"/>
          <w:szCs w:val="24"/>
          <w:u w:val="none"/>
          <w:lang w:val="ru-RU" w:bidi="ar-SA"/>
        </w:rPr>
        <w:tab/>
        <w:t>В случае отсутствия данного вида комиссия З</w:t>
      </w:r>
      <w:bookmarkStart w:id="1" w:name="main-column21"/>
      <w:bookmarkEnd w:id="1"/>
      <w:r>
        <w:rPr>
          <w:rFonts w:eastAsia="Calibri" w:cs="Times New Roman"/>
          <w:b w:val="false"/>
          <w:bCs/>
          <w:i w:val="false"/>
          <w:iCs w:val="false"/>
          <w:caps w:val="false"/>
          <w:smallCaps w:val="false"/>
          <w:strike w:val="false"/>
          <w:dstrike w:val="false"/>
          <w:color w:val="000000"/>
          <w:sz w:val="24"/>
          <w:szCs w:val="24"/>
          <w:u w:val="none"/>
          <w:lang w:val="ru-RU" w:bidi="ar-SA"/>
        </w:rPr>
        <w:t>аказчика обязана отказать в допуске данному участнику закупки по следующим основаниям.</w:t>
      </w:r>
    </w:p>
    <w:p>
      <w:pPr>
        <w:pStyle w:val="Normal"/>
        <w:spacing w:lineRule="auto" w:line="360" w:before="0" w:after="0"/>
        <w:jc w:val="both"/>
        <w:rPr>
          <w:rFonts w:ascii="Times New Roman" w:hAnsi="Times New Roman"/>
          <w:sz w:val="24"/>
          <w:szCs w:val="24"/>
        </w:rPr>
      </w:pPr>
      <w:r>
        <w:rPr>
          <w:rFonts w:eastAsia="Calibri" w:cs="Times New Roman"/>
          <w:b w:val="false"/>
          <w:bCs/>
          <w:i w:val="false"/>
          <w:iCs w:val="false"/>
          <w:caps w:val="false"/>
          <w:smallCaps w:val="false"/>
          <w:strike w:val="false"/>
          <w:dstrike w:val="false"/>
          <w:color w:val="000000"/>
          <w:sz w:val="24"/>
          <w:szCs w:val="24"/>
          <w:u w:val="none"/>
          <w:lang w:val="ru-RU" w:bidi="ar-SA"/>
        </w:rPr>
        <w:tab/>
        <w:t>Согласно пункту 32 части 1 статьи 12 Федерального закона от 04.05.2011 № 99-ФЗ «О лицензировании отдельных видов деятельности» частная охранная деятельность подлежит лицензированию.</w:t>
      </w:r>
    </w:p>
    <w:p>
      <w:pPr>
        <w:pStyle w:val="Normal"/>
        <w:spacing w:lineRule="auto" w:line="360" w:before="0" w:after="0"/>
        <w:jc w:val="both"/>
        <w:rPr>
          <w:rFonts w:ascii="Times New Roman" w:hAnsi="Times New Roman"/>
          <w:sz w:val="24"/>
          <w:szCs w:val="24"/>
        </w:rPr>
      </w:pPr>
      <w:r>
        <w:rPr>
          <w:rFonts w:eastAsia="Calibri" w:cs="Times New Roman"/>
          <w:b w:val="false"/>
          <w:bCs/>
          <w:i w:val="false"/>
          <w:iCs w:val="false"/>
          <w:caps w:val="false"/>
          <w:smallCaps w:val="false"/>
          <w:strike w:val="false"/>
          <w:dstrike w:val="false"/>
          <w:color w:val="000000"/>
          <w:sz w:val="24"/>
          <w:szCs w:val="24"/>
          <w:u w:val="none"/>
          <w:lang w:val="ru-RU" w:bidi="ar-SA"/>
        </w:rPr>
        <w:tab/>
      </w:r>
      <w:r>
        <w:rPr>
          <w:sz w:val="24"/>
          <w:szCs w:val="24"/>
        </w:rPr>
        <w:t>Частная охранная деятельность регулируется Законом Российской Федерации от 11.03.1992 № 2487-1 «О частной детективной и охранной деятельности в Российской Федерации».</w:t>
      </w:r>
    </w:p>
    <w:p>
      <w:pPr>
        <w:pStyle w:val="Normal"/>
        <w:spacing w:lineRule="auto" w:line="360" w:before="0" w:after="0"/>
        <w:jc w:val="both"/>
        <w:rPr>
          <w:rFonts w:ascii="Times New Roman" w:hAnsi="Times New Roman"/>
          <w:sz w:val="24"/>
          <w:szCs w:val="24"/>
        </w:rPr>
      </w:pPr>
      <w:r>
        <w:rPr>
          <w:sz w:val="24"/>
          <w:szCs w:val="24"/>
        </w:rPr>
        <w:tab/>
        <w:t>В соответствии со статьей 1 Закона Российской Федерации от 11.03.1992 №2487-1 «О частной детективной и охранной деятельности в Российской Федерации»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w:t>
      </w:r>
    </w:p>
    <w:p>
      <w:pPr>
        <w:pStyle w:val="Normal"/>
        <w:spacing w:lineRule="auto" w:line="360" w:before="0" w:after="0"/>
        <w:jc w:val="both"/>
        <w:rPr>
          <w:rFonts w:ascii="Times New Roman" w:hAnsi="Times New Roman"/>
          <w:sz w:val="24"/>
          <w:szCs w:val="24"/>
        </w:rPr>
      </w:pPr>
      <w:r>
        <w:rPr>
          <w:sz w:val="24"/>
          <w:szCs w:val="24"/>
        </w:rPr>
        <w:tab/>
        <w:t>В силу статьи 11.2 Закона Российской Федерации от 11.03.1992 № 2487-1 «О частной детективной и охранной деятельности в Российской Федерации» предоставление лицензий на осуществление частной охранной деятельности производится органами внутренних дел.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и условий по каждому виду охранных услуг, предусмотренных частью 3 статьи 3 данного Закона.</w:t>
      </w:r>
    </w:p>
    <w:p>
      <w:pPr>
        <w:pStyle w:val="Normal"/>
        <w:spacing w:lineRule="auto" w:line="360" w:before="0" w:after="0"/>
        <w:jc w:val="both"/>
        <w:rPr>
          <w:rFonts w:ascii="Times New Roman" w:hAnsi="Times New Roman"/>
          <w:sz w:val="24"/>
          <w:szCs w:val="24"/>
        </w:rPr>
      </w:pPr>
      <w:r>
        <w:rPr>
          <w:sz w:val="24"/>
          <w:szCs w:val="24"/>
        </w:rPr>
        <w:tab/>
        <w:t>Согласно пункту 7 части 2 статьи 3 Закона Российской Федерации от 11.03.1992 № 2487-1 «О частной детективной и охранной деятельности в Российской Федерации» в целях охраны разрешается предоставление услуг охраны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p>
    <w:p>
      <w:pPr>
        <w:pStyle w:val="Normal"/>
        <w:spacing w:lineRule="auto" w:line="360" w:before="0" w:after="0"/>
        <w:jc w:val="both"/>
        <w:rPr>
          <w:rFonts w:ascii="Times New Roman" w:hAnsi="Times New Roman"/>
          <w:sz w:val="24"/>
          <w:szCs w:val="24"/>
        </w:rPr>
      </w:pPr>
      <w:r>
        <w:rPr>
          <w:sz w:val="24"/>
          <w:szCs w:val="24"/>
        </w:rPr>
        <w:tab/>
        <w:t>Таким образом, возможность предоставления услуги по охране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должна быть специально оговорена в лицензии на осуществление частной охранной деятельности.</w:t>
      </w:r>
    </w:p>
    <w:p>
      <w:pPr>
        <w:pStyle w:val="Normal"/>
        <w:spacing w:lineRule="auto" w:line="360" w:before="0" w:after="0"/>
        <w:jc w:val="both"/>
        <w:rPr>
          <w:rFonts w:ascii="Times New Roman" w:hAnsi="Times New Roman"/>
          <w:sz w:val="24"/>
          <w:szCs w:val="24"/>
        </w:rPr>
      </w:pPr>
      <w:r>
        <w:rPr>
          <w:sz w:val="24"/>
          <w:szCs w:val="24"/>
        </w:rPr>
        <w:tab/>
        <w:t>Понятия «антитеррористическая защищенность» раскрывается в подпункте 6 части 1 статьи 3 Федерального закона «О противодействии терроризму», согласно которому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pPr>
        <w:pStyle w:val="Normal"/>
        <w:spacing w:lineRule="auto" w:line="360" w:before="0" w:after="0"/>
        <w:jc w:val="both"/>
        <w:rPr>
          <w:rFonts w:ascii="Times New Roman" w:hAnsi="Times New Roman"/>
          <w:sz w:val="24"/>
          <w:szCs w:val="24"/>
        </w:rPr>
      </w:pPr>
      <w:r>
        <w:rPr>
          <w:sz w:val="24"/>
          <w:szCs w:val="24"/>
        </w:rPr>
        <w:tab/>
        <w:t>В силу пункта 2 части 3 статьи 28 Федерального закона от 29.12.2012 № 273-ФЗ «Об образовании в Российской Федерации» к компетенции образовательной организации в установленной сфере деятельности относятся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pStyle w:val="Normal"/>
        <w:spacing w:lineRule="auto" w:line="360" w:before="0" w:after="0"/>
        <w:jc w:val="both"/>
        <w:rPr>
          <w:rFonts w:ascii="Times New Roman" w:hAnsi="Times New Roman"/>
          <w:sz w:val="24"/>
          <w:szCs w:val="24"/>
        </w:rPr>
      </w:pPr>
      <w:r>
        <w:rPr>
          <w:sz w:val="24"/>
          <w:szCs w:val="24"/>
        </w:rPr>
        <w:tab/>
        <w:t>В соответствии с пунктом 2 части 6 статьи 28 Федерального закона от 29.12.2012 № 273-ФЗ «Об образовании в Российской Федерации» образовательная организация обязана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Normal"/>
        <w:spacing w:lineRule="auto" w:line="360" w:before="0" w:after="0"/>
        <w:jc w:val="both"/>
        <w:rPr>
          <w:rFonts w:ascii="Times New Roman" w:hAnsi="Times New Roman"/>
          <w:sz w:val="24"/>
          <w:szCs w:val="24"/>
        </w:rPr>
      </w:pPr>
      <w:r>
        <w:rPr>
          <w:sz w:val="24"/>
          <w:szCs w:val="24"/>
        </w:rPr>
        <w:tab/>
        <w:t>Из пункта 8 части 1 статьи 41 вышеуказанного Закона, следует, что 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w:t>
      </w:r>
    </w:p>
    <w:p>
      <w:pPr>
        <w:pStyle w:val="Normal"/>
        <w:spacing w:lineRule="auto" w:line="360" w:before="0" w:after="0"/>
        <w:jc w:val="both"/>
        <w:rPr>
          <w:rFonts w:ascii="Times New Roman" w:hAnsi="Times New Roman"/>
          <w:sz w:val="24"/>
          <w:szCs w:val="24"/>
        </w:rPr>
      </w:pPr>
      <w:r>
        <w:rPr>
          <w:sz w:val="24"/>
          <w:szCs w:val="24"/>
        </w:rPr>
        <w:tab/>
        <w:t>В силу части 13 статьи 30 Федерального закона от 30.12.2009 № 384-Ф3 «Технический регламент о безопасности зданий и сооружений» для обеспечения защиты от несанкционированного вторжения в здания и сооружения необходимо соблюдение следующих требований, в том числе в зданиях с большим количеством посетителей (зрителей), а также в зданиях образовательных, медицинских, банковских организаций,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 в предусмотренных законодательством Российской Федерации случаях в зданиях и сооружениях должны быть устроены системы телевизионное наблюдения, системы сигнализации и другие системы, направленные на обеспечение защиты от угрозы террористического характера и несанкционированного вторжения.</w:t>
      </w:r>
    </w:p>
    <w:p>
      <w:pPr>
        <w:pStyle w:val="Normal"/>
        <w:spacing w:lineRule="auto" w:line="360" w:before="0" w:after="0"/>
        <w:jc w:val="both"/>
        <w:rPr>
          <w:rFonts w:ascii="Times New Roman" w:hAnsi="Times New Roman"/>
          <w:sz w:val="24"/>
          <w:szCs w:val="24"/>
        </w:rPr>
      </w:pPr>
      <w:r>
        <w:rPr>
          <w:sz w:val="24"/>
          <w:szCs w:val="24"/>
        </w:rPr>
        <w:tab/>
        <w:t>Утвержденная Президентом Российской Федерации 05.10.2009 «Концепция противодействия терроризму в Российской Федерации» предусматривает, что субъектами противодействия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w:t>
      </w:r>
    </w:p>
    <w:p>
      <w:pPr>
        <w:pStyle w:val="Normal"/>
        <w:spacing w:lineRule="auto" w:line="360" w:before="0" w:after="0"/>
        <w:jc w:val="both"/>
        <w:rPr>
          <w:rFonts w:ascii="Times New Roman" w:hAnsi="Times New Roman"/>
          <w:sz w:val="24"/>
          <w:szCs w:val="24"/>
        </w:rPr>
      </w:pPr>
      <w:r>
        <w:rPr>
          <w:sz w:val="24"/>
          <w:szCs w:val="24"/>
        </w:rPr>
        <w:tab/>
        <w:t>Правительством Российской Федерации 23.12.2005 утверждена Федеральная целевая программа развития образования на 2006-2010 годы, в соответствии с которой предусмотрено создание безопасных условий для организации учебного процесса в образовательных учреждениях.</w:t>
      </w:r>
    </w:p>
    <w:p>
      <w:pPr>
        <w:pStyle w:val="Normal"/>
        <w:spacing w:lineRule="auto" w:line="360" w:before="0" w:after="0"/>
        <w:jc w:val="both"/>
        <w:rPr>
          <w:rFonts w:ascii="Times New Roman" w:hAnsi="Times New Roman"/>
          <w:sz w:val="24"/>
          <w:szCs w:val="24"/>
        </w:rPr>
      </w:pPr>
      <w:r>
        <w:rPr>
          <w:sz w:val="24"/>
          <w:szCs w:val="24"/>
        </w:rPr>
        <w:tab/>
        <w:t>В целях выполнения указанных мероприятий Министерством образования и науки Российской Федерации издан ряд приказов.</w:t>
      </w:r>
    </w:p>
    <w:p>
      <w:pPr>
        <w:pStyle w:val="Normal"/>
        <w:spacing w:lineRule="auto" w:line="360" w:before="0" w:after="0"/>
        <w:jc w:val="both"/>
        <w:rPr>
          <w:rFonts w:ascii="Times New Roman" w:hAnsi="Times New Roman"/>
          <w:sz w:val="24"/>
          <w:szCs w:val="24"/>
        </w:rPr>
      </w:pPr>
      <w:r>
        <w:rPr>
          <w:sz w:val="24"/>
          <w:szCs w:val="24"/>
        </w:rPr>
        <w:tab/>
        <w:t>Так, приказом от 11.11.2009 № 2013 «О мерах по обеспечению пожарной и антитеррористической безопасности образовательных учреждений» предписано руководителям подведомственных образовательных учреждений принять дополнительные меры по усилению режима пожарной и антитеррористической безопасности, а органам исполнительной власти субъектов Российской Федерации предусмотреть в бюджетах субъектов и муниципальных образований средства на создание комплексной системы обеспечения безопасности образовательных учреждений; разработать и реализовать комплекс мероприятий по оснащению образовательных учреждений современными техническими средствами противопожарной и антитеррористической защиты (системы видеонаблюдения, тревожной сигнализации, контроля, управления доступом и эвакуацией обучающихся и работников).</w:t>
      </w:r>
    </w:p>
    <w:p>
      <w:pPr>
        <w:pStyle w:val="Normal"/>
        <w:spacing w:lineRule="auto" w:line="360" w:before="0" w:after="0"/>
        <w:jc w:val="both"/>
        <w:rPr>
          <w:rFonts w:ascii="Times New Roman" w:hAnsi="Times New Roman"/>
          <w:sz w:val="24"/>
          <w:szCs w:val="24"/>
        </w:rPr>
      </w:pPr>
      <w:r>
        <w:rPr>
          <w:sz w:val="24"/>
          <w:szCs w:val="24"/>
        </w:rPr>
        <w:tab/>
        <w:t>В целях определения методических подходов к организации создания единой системы обеспечения безопасности образовательных учреждений, Министерством образования и науки Российской Федерации 04.06.2008 разработаны методические указания, в соответствии с которыми антитеррористическая защищенность образовательного учреждения считается одним из критериев обеспечения безопасности при оценке готовности учебных заведений к новому учебному процессу.</w:t>
      </w:r>
    </w:p>
    <w:p>
      <w:pPr>
        <w:pStyle w:val="Normal"/>
        <w:spacing w:lineRule="auto" w:line="360" w:before="0" w:after="0"/>
        <w:jc w:val="both"/>
        <w:rPr>
          <w:rFonts w:ascii="Times New Roman" w:hAnsi="Times New Roman"/>
          <w:sz w:val="24"/>
          <w:szCs w:val="24"/>
        </w:rPr>
      </w:pPr>
      <w:r>
        <w:rPr>
          <w:sz w:val="24"/>
          <w:szCs w:val="24"/>
        </w:rPr>
        <w:tab/>
        <w:t>При этом при решении вопроса о готовности учреждения осуществлять образовательную деятельность необходимо учитывать наличие обеспечения охраны, инженерно-технических средств охраны (охранно-пожарной сигнализации, тревожной сигнализации, системы видеонаблюдения и контроля).</w:t>
      </w:r>
    </w:p>
    <w:p>
      <w:pPr>
        <w:pStyle w:val="Normal"/>
        <w:spacing w:lineRule="auto" w:line="360" w:before="0" w:after="0"/>
        <w:jc w:val="both"/>
        <w:rPr>
          <w:rFonts w:ascii="Times New Roman" w:hAnsi="Times New Roman"/>
          <w:sz w:val="24"/>
          <w:szCs w:val="24"/>
        </w:rPr>
      </w:pPr>
      <w:r>
        <w:rPr>
          <w:sz w:val="24"/>
          <w:szCs w:val="24"/>
        </w:rPr>
        <w:tab/>
        <w:t>Согласно пункту 6.48 СП 118.13330.2012. Свод правил. Общественные здания и сооружения. Актуализированная редакция СНиП 31-06-2009, утвержденного Приказом Минрегиона России от 29.12.2011 № 635/10, для комплексной безопасности и антитеррористической защищенности учреждений образования и их учащихся следует предусматривать на первом этаже помещения для охраны с установкой в них систем видеонаблюдения, пожарной и охранной сигнализации и канала передачи тревожных сообщений в органы внутренних дел (вневедомственной охраны) или в ситуационные центры «Службы 112».</w:t>
      </w:r>
    </w:p>
    <w:p>
      <w:pPr>
        <w:pStyle w:val="Normal"/>
        <w:spacing w:lineRule="auto" w:line="360" w:before="0" w:after="0"/>
        <w:jc w:val="both"/>
        <w:rPr>
          <w:rFonts w:ascii="Times New Roman" w:hAnsi="Times New Roman"/>
          <w:sz w:val="24"/>
          <w:szCs w:val="24"/>
        </w:rPr>
      </w:pPr>
      <w:r>
        <w:rPr>
          <w:rFonts w:eastAsia="Calibri" w:cs="Times New Roman"/>
          <w:b w:val="false"/>
          <w:bCs/>
          <w:i w:val="false"/>
          <w:iCs w:val="false"/>
          <w:caps w:val="false"/>
          <w:smallCaps w:val="false"/>
          <w:strike w:val="false"/>
          <w:dstrike w:val="false"/>
          <w:color w:val="000000"/>
          <w:sz w:val="24"/>
          <w:szCs w:val="24"/>
          <w:u w:val="none"/>
          <w:lang w:val="ru-RU" w:bidi="ar-SA"/>
        </w:rPr>
        <w:tab/>
        <w:t>Из совокупного анализа вышеуказанных норм следует, что меры по обеспечению безопасности в общеобразовательных учреждениях должны быть реализованы в объеме, необходимом для обеспечения антитеррористической защищенности.</w:t>
      </w:r>
    </w:p>
    <w:p>
      <w:pPr>
        <w:pStyle w:val="Normal"/>
        <w:spacing w:lineRule="auto" w:line="360" w:before="0" w:after="0"/>
        <w:jc w:val="both"/>
        <w:rPr>
          <w:rFonts w:ascii="Times New Roman" w:hAnsi="Times New Roman"/>
          <w:sz w:val="24"/>
          <w:szCs w:val="24"/>
        </w:rPr>
      </w:pPr>
      <w:bookmarkStart w:id="2" w:name="main-column2"/>
      <w:bookmarkEnd w:id="2"/>
      <w:r>
        <w:rPr>
          <w:rFonts w:eastAsia="Calibri" w:cs="Times New Roman"/>
          <w:b w:val="false"/>
          <w:bCs/>
          <w:i w:val="false"/>
          <w:iCs w:val="false"/>
          <w:caps w:val="false"/>
          <w:smallCaps w:val="false"/>
          <w:strike w:val="false"/>
          <w:dstrike w:val="false"/>
          <w:color w:val="000000"/>
          <w:sz w:val="24"/>
          <w:szCs w:val="24"/>
          <w:u w:val="none"/>
          <w:lang w:val="ru-RU" w:bidi="ar-SA"/>
        </w:rPr>
        <w:tab/>
        <w:t>Таким образом, участник закупки должен представить в составе заявки копию лицензии на право осуществления охранной деятельности (частная охрана) с разрешенным видом услуг по охране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pPr>
        <w:pStyle w:val="Normal"/>
        <w:widowControl w:val="false"/>
        <w:spacing w:lineRule="auto" w:line="360" w:before="0" w:after="0"/>
        <w:ind w:firstLine="539"/>
        <w:jc w:val="both"/>
        <w:rPr>
          <w:rFonts w:ascii="Times New Roman" w:hAnsi="Times New Roman"/>
          <w:sz w:val="24"/>
          <w:szCs w:val="24"/>
        </w:rPr>
      </w:pPr>
      <w:r>
        <w:rPr>
          <w:rFonts w:eastAsia="Calibri" w:cs="Times New Roman"/>
          <w:b w:val="false"/>
          <w:bCs w:val="false"/>
          <w:i w:val="false"/>
          <w:iCs w:val="false"/>
          <w:caps w:val="false"/>
          <w:smallCaps w:val="false"/>
          <w:strike w:val="false"/>
          <w:dstrike w:val="false"/>
          <w:color w:val="000000"/>
          <w:sz w:val="24"/>
          <w:szCs w:val="24"/>
          <w:u w:val="none"/>
          <w:lang w:val="ru-RU" w:bidi="ar-SA"/>
        </w:rPr>
        <w:tab/>
        <w:t>Аналогичная позиция отражена в Постановлении Арбитражного суда Западно- Сибирского округа  от 26.12.2016 по делу № А75-4179/2016.</w:t>
      </w:r>
    </w:p>
    <w:p>
      <w:pPr>
        <w:pStyle w:val="Normal"/>
        <w:spacing w:lineRule="auto" w:line="360" w:before="0" w:after="0"/>
        <w:jc w:val="both"/>
        <w:rPr>
          <w:rFonts w:ascii="Times New Roman" w:hAnsi="Times New Roman"/>
          <w:sz w:val="24"/>
          <w:szCs w:val="24"/>
        </w:rPr>
      </w:pPr>
      <w:r>
        <w:rPr>
          <w:sz w:val="24"/>
          <w:szCs w:val="24"/>
          <w:u w:val="none"/>
        </w:rPr>
        <w:tab/>
      </w:r>
      <w:r>
        <w:rPr>
          <w:b/>
          <w:bCs/>
          <w:sz w:val="24"/>
          <w:szCs w:val="24"/>
          <w:u w:val="none"/>
        </w:rPr>
        <w:t>2.</w:t>
      </w:r>
      <w:r>
        <w:rPr>
          <w:sz w:val="24"/>
          <w:szCs w:val="24"/>
          <w:u w:val="none"/>
        </w:rPr>
        <w:t xml:space="preserve"> </w:t>
      </w:r>
      <w:r>
        <w:rPr>
          <w:b/>
          <w:bCs/>
          <w:sz w:val="24"/>
          <w:szCs w:val="24"/>
          <w:u w:val="none"/>
        </w:rPr>
        <w:t xml:space="preserve">Признание заявки на участие в торгах не соответствующей требования документации об аукционе, в случае предоставления  </w:t>
      </w:r>
      <w:r>
        <w:rPr>
          <w:b/>
          <w:bCs/>
          <w:i w:val="false"/>
          <w:caps w:val="false"/>
          <w:smallCaps w:val="false"/>
          <w:color w:val="000000"/>
          <w:sz w:val="24"/>
          <w:szCs w:val="24"/>
          <w:u w:val="none"/>
        </w:rPr>
        <w:t>Годовых актов экспертизы вместо акта экспертизы на конкретную закупки является неправомерным.</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В соответствии с пунктом 3 части 5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 44-ФЗ) вторая часть заявки на участие в электронном аукционе должна содержать, в том числе,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В части 1, части 2 статьи 69 указанного Закона установлено, что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названного Закона, в части соответствия их требованиям, установленным документацией о таком аукционе.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Заявка на участие в электронном аукционе признается не соответствующей требованиям, установленным документацией о таком аукционе, в случае: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1) непредставления документов и информации, которые предусмотрены пунктами 1, 3-5, 7 и 8 части 2 статьи 62, частями 3 и 5 статьи 66 названного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 2) несоответствия участника такого аукциона требованиям, установленным в соответствии с частью 1, частью 1.1 и 2 (при наличии таких требований) статьи 31 названного Федерального закона (ч. 6 ст. 69 Закона № 44-ФЗ).</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Предметом аукциона являлась поставка микроавтобуса, в извещении установлен код по ОКПД 29.10.23.000 (средства транспортные с поршневым двигателем внутреннего сгорания с воспламенением от сжатия (дизелем или полудизелем), новые.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На основании Постановления 656 в целях защиты внутреннего рынка Российской Федерации,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установлен запрет на допуск отдельных видов товаров машиностроения, происходящих из иностранных государств, по перечню согласно приложению (далее - товары).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В пункте 3 данного Постановления указано, что подтверждением соответствия товаров, указанных в пунктах 14-16, 18, 20-26 и 33 перечня, требованиям, предусмотренным подпунктами «б» и «в» пункта 1, является акт экспертизы, выдаваемый ТПП в порядке, установленном ею по согласованию с Министерством промышленности и торговли Российской Федерации.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Приказом ТПП от 25.08.2014 № 64 утверждено Положение о порядке выдачи актов экспертизы для целей осуществления закупок для обеспечения государственных и муниципальных нужд, в соответствии с которым акт экспертизы определен как документ, 6 выданный уполномоченной ТПП участнику закупки, который подтверждает соответствие товаров требованиям, предусмотренным Постановлением № 656.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В соответствии с п. 3.1. данного Положения акты экспертизы выдаются уполномоченными Торгово-промышленными палатами, заинтересованным участникам закупок (заявителям).</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В п. 3.2, п. 3.7 данного Положения предусмотрено, в частности, что акт экспертизы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w:t>
        <w:tab/>
        <w:t xml:space="preserve">Указанные первичные акты экспертизы оформляются на постоянную номенклатуру товаров сроком на один год (годовые акты экспертизы). Исходя из текста Положения о порядке выдачи актов экспертизы, наличие годового акта экспертизы является безусловным основанием для получения акта экспертизы для целей осуществления закупок, что следует из анализа положений пункта 4.2 </w:t>
        <w:tab/>
        <w:t xml:space="preserve">Положения о порядке выдачи актов экспертизы, поскольку при отсутствии годового акта необходимо представление дополнительных документов и сведений, подтверждающих наличие производства, факт изготовления товара, а также подтверждающие соответствие требованиям подпункта «б» пункта 1 Постановления № 656.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 xml:space="preserve">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акты экспертизы, утверждаются ТПП России. Приказом ТПП от 25.08.2014 № 66 утвержден Порядок заполнения актов экспертизы по определению страны происхождения товаров и соответствия товаров требованиям постановления Правительства № 656. В соответствии с Приказом ТПП № 66 для получения Годового акта экспертизы заказчик экспертизы (заявитель) представляет в уполномоченную ТПП заявление с просьбой о выдаче Годового акта экспертизы (далее - заявление), которое подписывается руководителем заявителя или уполномоченным им лицом, действующим на основании доверенности или приказа (распоряжения) заявителя (пункт 3.1). </w:t>
      </w:r>
    </w:p>
    <w:p>
      <w:pPr>
        <w:pStyle w:val="Normal"/>
        <w:spacing w:lineRule="auto" w:line="360" w:before="0" w:after="0"/>
        <w:jc w:val="both"/>
        <w:rPr>
          <w:rFonts w:ascii="Times New Roman" w:hAnsi="Times New Roman"/>
          <w:sz w:val="24"/>
          <w:szCs w:val="24"/>
        </w:rPr>
      </w:pPr>
      <w:r>
        <w:rPr>
          <w:i w:val="false"/>
          <w:caps w:val="false"/>
          <w:smallCaps w:val="false"/>
          <w:color w:val="000000"/>
          <w:sz w:val="24"/>
          <w:szCs w:val="24"/>
          <w:u w:val="none"/>
        </w:rPr>
        <w:tab/>
        <w:tab/>
        <w:t>Перечень сведений и документов, прилагаемых к заявлению на получение годового акта экспертизы в пункте 3.2 Приказа ТПП № 66, среди которых перечислены сведения и документы:</w:t>
      </w:r>
    </w:p>
    <w:p>
      <w:pPr>
        <w:pStyle w:val="Normal"/>
        <w:spacing w:lineRule="auto" w:line="360" w:before="0" w:after="0"/>
        <w:jc w:val="both"/>
        <w:rPr>
          <w:rFonts w:ascii="Times New Roman" w:hAnsi="Times New Roman"/>
          <w:sz w:val="24"/>
          <w:szCs w:val="24"/>
        </w:rPr>
      </w:pPr>
      <w:r>
        <w:rPr>
          <w:b/>
          <w:bCs/>
          <w:i w:val="false"/>
          <w:caps w:val="false"/>
          <w:smallCaps w:val="false"/>
          <w:color w:val="000000"/>
          <w:sz w:val="24"/>
          <w:szCs w:val="24"/>
          <w:u w:val="none"/>
        </w:rPr>
        <w:tab/>
      </w:r>
      <w:r>
        <w:rPr>
          <w:b w:val="false"/>
          <w:bCs w:val="false"/>
          <w:i w:val="false"/>
          <w:caps w:val="false"/>
          <w:smallCaps w:val="false"/>
          <w:color w:val="000000"/>
          <w:sz w:val="24"/>
          <w:szCs w:val="24"/>
          <w:u w:val="none"/>
        </w:rPr>
        <w:t>- подтверждающие наличие производственных площадей (свидетельство о праве собственности или договор аренды и акт приема-передачи производственных площадей);</w:t>
      </w:r>
    </w:p>
    <w:p>
      <w:pPr>
        <w:pStyle w:val="Normal"/>
        <w:spacing w:lineRule="auto" w:line="360" w:before="0" w:after="0"/>
        <w:jc w:val="both"/>
        <w:rPr>
          <w:rFonts w:ascii="Times New Roman" w:hAnsi="Times New Roman"/>
          <w:b w:val="false"/>
          <w:b w:val="false"/>
          <w:bCs w:val="false"/>
          <w:sz w:val="24"/>
          <w:szCs w:val="24"/>
        </w:rPr>
      </w:pPr>
      <w:r>
        <w:rPr>
          <w:b w:val="false"/>
          <w:bCs w:val="false"/>
          <w:i w:val="false"/>
          <w:caps w:val="false"/>
          <w:smallCaps w:val="false"/>
          <w:color w:val="000000"/>
          <w:sz w:val="24"/>
          <w:szCs w:val="24"/>
          <w:u w:val="none"/>
        </w:rPr>
        <w:tab/>
        <w:t>- сведения о производственных мощностях (перечень оборудования и балансовая справка или договор аренды и акт приема-передачи оборудования);</w:t>
      </w:r>
    </w:p>
    <w:p>
      <w:pPr>
        <w:pStyle w:val="Normal"/>
        <w:spacing w:lineRule="auto" w:line="360" w:before="0" w:after="0"/>
        <w:jc w:val="both"/>
        <w:textAlignment w:val="top"/>
        <w:rPr>
          <w:rFonts w:ascii="Times New Roman" w:hAnsi="Times New Roman"/>
          <w:b w:val="false"/>
          <w:b w:val="false"/>
          <w:bCs w:val="false"/>
          <w:sz w:val="24"/>
          <w:szCs w:val="24"/>
        </w:rPr>
      </w:pPr>
      <w:r>
        <w:rPr>
          <w:b w:val="false"/>
          <w:bCs w:val="false"/>
          <w:color w:val="2F2F2F"/>
          <w:sz w:val="24"/>
          <w:szCs w:val="24"/>
        </w:rPr>
        <w:tab/>
        <w:t>- сведения о наличии персонала (справка о численности персонала, занятого в производстве, перечень должностей);</w:t>
      </w:r>
    </w:p>
    <w:p>
      <w:pPr>
        <w:pStyle w:val="Normal"/>
        <w:spacing w:lineRule="auto" w:line="360" w:before="0" w:after="0"/>
        <w:jc w:val="both"/>
        <w:textAlignment w:val="top"/>
        <w:rPr>
          <w:rFonts w:ascii="Times New Roman" w:hAnsi="Times New Roman"/>
          <w:sz w:val="24"/>
          <w:szCs w:val="24"/>
        </w:rPr>
      </w:pPr>
      <w:r>
        <w:rPr>
          <w:color w:val="2F2F2F"/>
          <w:sz w:val="24"/>
          <w:szCs w:val="24"/>
        </w:rPr>
        <w:tab/>
        <w:t>- сведения и документы, подтверждающие факт изготовления товара и прочие.</w:t>
      </w:r>
    </w:p>
    <w:p>
      <w:pPr>
        <w:pStyle w:val="Normal"/>
        <w:spacing w:lineRule="auto" w:line="360" w:before="0" w:after="0"/>
        <w:jc w:val="both"/>
        <w:textAlignment w:val="top"/>
        <w:rPr>
          <w:rFonts w:ascii="Times New Roman" w:hAnsi="Times New Roman"/>
          <w:sz w:val="24"/>
          <w:szCs w:val="24"/>
        </w:rPr>
      </w:pPr>
      <w:r>
        <w:rPr>
          <w:color w:val="2F2F2F"/>
          <w:sz w:val="24"/>
          <w:szCs w:val="24"/>
        </w:rPr>
        <w:tab/>
        <w:t>Таким образом, перечень сведений и документов, исследуемых при проведении экспертизы, перечисленный в Приказе ТПП № 66 (о выдаче годового акта экспертизы) даже больше перечня, содержащегося в Приказе ТПП № 64. Следовательно, предоставив годовой акт экспертизы, участник закупки исполняет требование о предоставлении сведений, подтверждающих соответствие соблюдения запретов, установленных Постановлением № 656.</w:t>
      </w:r>
    </w:p>
    <w:p>
      <w:pPr>
        <w:pStyle w:val="Normal"/>
        <w:spacing w:lineRule="auto" w:line="360" w:before="0" w:after="0"/>
        <w:jc w:val="both"/>
        <w:textAlignment w:val="top"/>
        <w:rPr>
          <w:rFonts w:ascii="Times New Roman" w:hAnsi="Times New Roman"/>
          <w:sz w:val="24"/>
          <w:szCs w:val="24"/>
        </w:rPr>
      </w:pPr>
      <w:r>
        <w:rPr>
          <w:color w:val="2F2F2F"/>
          <w:sz w:val="24"/>
          <w:szCs w:val="24"/>
        </w:rPr>
        <w:tab/>
        <w:tab/>
        <w:t xml:space="preserve">Поскольку положения Постановления № 656 и Закона № 44-ФЗ не содержат запрета на предоставление в составе заявки акта экспертизы, выданного производителю товара, указание в акте экспертизы в качестве заявителя лица, не являющегося участником аукциона (производителя товара) не свидетельствует о несоответствии товара требованиям законодательства. </w:t>
      </w:r>
    </w:p>
    <w:p>
      <w:pPr>
        <w:pStyle w:val="Normal"/>
        <w:spacing w:lineRule="auto" w:line="360"/>
        <w:jc w:val="both"/>
        <w:textAlignment w:val="top"/>
        <w:rPr>
          <w:rFonts w:ascii="Times New Roman" w:hAnsi="Times New Roman"/>
          <w:sz w:val="24"/>
          <w:szCs w:val="24"/>
        </w:rPr>
      </w:pPr>
      <w:r>
        <w:rPr>
          <w:sz w:val="24"/>
          <w:szCs w:val="24"/>
        </w:rPr>
        <w:tab/>
      </w:r>
      <w:r>
        <w:rPr>
          <w:b/>
          <w:bCs/>
          <w:sz w:val="24"/>
          <w:szCs w:val="24"/>
        </w:rPr>
        <w:t>3. Отказ в допуске к участию в закупке в случае предоставления участником закупки двух тар, вместо требуемой по техническому заданию одной является не правомерным</w:t>
      </w:r>
      <w:r>
        <w:rPr>
          <w:sz w:val="24"/>
          <w:szCs w:val="24"/>
        </w:rPr>
        <w:t>.</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ab/>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В пункте 24 аукционной документации содержится инструкция по заполнению заявки на участие в электронном аукционе, рекомендуемая форма заявки, согласно которой Участник предлагает одно конкретное значение, за исключением описания диапазонных значений (Раздел II), в случае применения заказчиком в техническом задании при описании значения показателя с использованием следующих слов (знаков): - 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Согласно техническому заданию заказчиком в пункте 4 установлено требование к объему тары специального масла (ВМГЗ) - не менее 1 л. не более 10 л., при этом общее количество литров должно составлять 111 литров.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Как следует из протокола рассмотрения заявок на участие в электронном аукционе  заявка участника признана не соответствующей требованиям технической части документации об аукционе в электронной форме, а именно: в пункте 4 технического задания требовалось - объем тары не менее 1 л. не более 10 л., в заявке участника предложено: объем тары 5 л. и 10 л. (не конкретизирован показатель поставляемого товара).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По мнению заказчика, заявка участника закупки не соответствует подпункту б» пункта 1 части 3 статьи 66 Закона о контрактной системе, пункт 23, 24 раздела I документации об аукционе.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Вместе с тем, установленное в аукционной документации требование предусматривает не конкретное, а диапазонное значение закупаемого объекта (заказчика устроит любой вариант от 1 до 10 литров), при этом дополнительные условия о запрете на поставку товара одновременно в фасовке различного объема не предусмотрено.</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В данном случае участником предполагалось поставить 11 шт. по 10 литров (что составляет 110 литров) и 1 шт. объемом 5 литров. Итоговый объем к поставке составил 115 литров.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Таким образом, характеристики указанные участником закупки в первой части заявки входят в диапазон, требуемый заказчиком в техническом задании аукционной документации и соответствуют ему.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Необходимость заказчика в том, чтобы все тары были одинакового объема, в ходе рассмотрения жалобы в антимонопольном органе учреждением не обоснована.</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 Кроме того, учитывая необходимое заказчику количество масла, предоставить его без излишек возможно было только в таре объемом 1 или 3 литра.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Требования аукционной документации при их применении не могут быть чрезмерно формализованы, терминология, применяемая участниками аукциона может отличаться от изложения инструкции по заполнению заявки при соблюдении принципов полноты и достоверности информации, предусмотренных статьей 7 Закона о контрактной системе, а также учитывая принцип профессионализма заказчика, предусмотренного статьей 9 Закона о контрактной системе, из которого следует, что заказчик обладает профессиональными познаниями относительно характеристик закупаемой продукции. Иная трактовка законодательства обозначала бы наличие необоснованных препятствий для участия в аукционе, не соответствовала целям экономии бюджета и эффективности осуществления закупок.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 xml:space="preserve">Из анализа норм Закона о контрактной системе следует, что одной из его целей является эффективное использование средств бюджетов и внебюджетных источников финансирования. Статьей 34 Бюджетного кодекса Российской Федерации установлен принцип результативности и эффективности использования бюджетных средств, на основании которого при исполнении бюджетов участники бюджетного процесса в рамках определенных для них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t>На основании вышеизложенного, единая комиссия Заказчика обязана при принятии решения о допуске либо об отказе в допуске исходить из принципа профессионализма, рассматривать заявки на соответствие требованиям Заказчика, с учетом специфика закупаемого товара, так как инструкция по заполнению первой части заявки является типовой и в каждом конкретном случае необходимо детальное изучение специфики закупаемого товара.</w:t>
      </w:r>
    </w:p>
    <w:p>
      <w:pPr>
        <w:pStyle w:val="Normal"/>
        <w:spacing w:lineRule="auto" w:line="360" w:before="0" w:after="0"/>
        <w:ind w:firstLine="567"/>
        <w:jc w:val="both"/>
        <w:textAlignment w:val="top"/>
        <w:rPr>
          <w:rFonts w:ascii="Times New Roman" w:hAnsi="Times New Roman"/>
          <w:b w:val="false"/>
          <w:b w:val="false"/>
          <w:bCs w:val="false"/>
          <w:sz w:val="24"/>
          <w:szCs w:val="24"/>
          <w:u w:val="none"/>
        </w:rPr>
      </w:pPr>
      <w:r>
        <w:rPr>
          <w:rFonts w:eastAsia="Arial CYR" w:cs="Times New Roman"/>
          <w:b w:val="false"/>
          <w:bCs w:val="false"/>
          <w:i w:val="false"/>
          <w:caps w:val="false"/>
          <w:smallCaps w:val="false"/>
          <w:color w:val="000000"/>
          <w:spacing w:val="2"/>
          <w:sz w:val="24"/>
          <w:szCs w:val="24"/>
          <w:u w:val="none"/>
          <w:shd w:fill="FFFFFF" w:val="clear"/>
          <w:lang w:val="ru-RU" w:eastAsia="en-US" w:bidi="en-US"/>
        </w:rPr>
        <w:t>Кроме того, указание в документации об аукционах основных параметров и технических характеристик не препятствует участникам закупки предложить в заявке другой товар, имеющий аналогичные или улучшенные технические характеристики и соответствующие потребностям заказчика.</w:t>
      </w:r>
    </w:p>
    <w:p>
      <w:pPr>
        <w:pStyle w:val="Normal"/>
        <w:spacing w:lineRule="auto" w:line="360"/>
        <w:jc w:val="both"/>
        <w:textAlignment w:val="top"/>
        <w:rPr>
          <w:rFonts w:ascii="Times New Roman" w:hAnsi="Times New Roman"/>
          <w:sz w:val="24"/>
          <w:szCs w:val="24"/>
        </w:rPr>
      </w:pPr>
      <w:r>
        <w:rPr>
          <w:i w:val="false"/>
          <w:caps w:val="false"/>
          <w:smallCaps w:val="false"/>
          <w:color w:val="000000"/>
          <w:sz w:val="24"/>
          <w:szCs w:val="24"/>
        </w:rPr>
        <w:tab/>
      </w:r>
      <w:r>
        <w:rPr>
          <w:b/>
          <w:bCs/>
          <w:i w:val="false"/>
          <w:caps w:val="false"/>
          <w:smallCaps w:val="false"/>
          <w:color w:val="000000"/>
          <w:sz w:val="24"/>
          <w:szCs w:val="24"/>
        </w:rPr>
        <w:t>4. Признание второй части заявки не соответствующей требованиям документации об аукционе и законодательству о контрактной системе индивидуального предпринимателя либо физического лица, в случае не представления декларации о</w:t>
      </w:r>
      <w:r>
        <w:rPr>
          <w:rFonts w:cs="Times New Roman"/>
          <w:b/>
          <w:bCs/>
          <w:i w:val="false"/>
          <w:caps w:val="false"/>
          <w:smallCaps w:val="false"/>
          <w:color w:val="000000"/>
          <w:sz w:val="24"/>
          <w:szCs w:val="24"/>
        </w:rPr>
        <w:t xml:space="preserve"> соответствии требованиям пункта 7.1 части 1 статьи 31 Закона о контрактной системе является не правомерным.</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Пунктом 7.1 части 1 статьи 31 Закона о контрактной системе предусмотрено следующее: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Spacing"/>
        <w:spacing w:lineRule="auto" w:line="360"/>
        <w:ind w:firstLine="709"/>
        <w:jc w:val="both"/>
        <w:rPr>
          <w:rFonts w:ascii="Times New Roman" w:hAnsi="Times New Roman"/>
          <w:sz w:val="24"/>
          <w:szCs w:val="24"/>
        </w:rPr>
      </w:pPr>
      <w:r>
        <w:rPr>
          <w:rFonts w:cs="Times New Roman" w:ascii="Times New Roman" w:hAnsi="Times New Roman"/>
          <w:sz w:val="24"/>
          <w:szCs w:val="24"/>
        </w:rPr>
        <w:t xml:space="preserve">Таким образом, требование пункта 7.1 части 1 статьи 31 Закона о контрактной системе предусмотрено для юридических лиц, в случае если участник закупки является индивидуальным предпринимателем либо физическим лицом, данное требование на участника закупки  не распространяется. </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В соответствии с частью 1 статьи 69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Согласно части 6 названной статьи заявка на участие в электронном аукционе признается не соответствующей требованиям, установленным документацией о таком аукционе, в случае:</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NoSpacing"/>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pPr>
        <w:pStyle w:val="NoSpacing"/>
        <w:spacing w:lineRule="auto" w:line="360"/>
        <w:ind w:firstLine="709"/>
        <w:jc w:val="both"/>
        <w:textAlignment w:val="top"/>
        <w:rPr>
          <w:rFonts w:ascii="Times New Roman" w:hAnsi="Times New Roman" w:cs="Times New Roman"/>
          <w:sz w:val="24"/>
          <w:szCs w:val="24"/>
        </w:rPr>
      </w:pPr>
      <w:r>
        <w:rPr>
          <w:rFonts w:cs="Times New Roman" w:ascii="Times New Roman" w:hAnsi="Times New Roman"/>
          <w:i w:val="false"/>
          <w:caps w:val="false"/>
          <w:smallCaps w:val="false"/>
          <w:color w:val="000000"/>
          <w:sz w:val="24"/>
          <w:szCs w:val="24"/>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(часть 7 статьи 69 Закона о контрактной системе).</w:t>
      </w:r>
    </w:p>
    <w:p>
      <w:pPr>
        <w:pStyle w:val="Normal"/>
        <w:spacing w:lineRule="auto" w:line="360" w:before="0" w:after="0"/>
        <w:jc w:val="both"/>
        <w:textAlignment w:val="top"/>
        <w:rPr>
          <w:rFonts w:ascii="Times New Roman" w:hAnsi="Times New Roman"/>
          <w:sz w:val="24"/>
          <w:szCs w:val="24"/>
        </w:rPr>
      </w:pPr>
      <w:r>
        <w:rPr>
          <w:color w:val="2F2F2F"/>
          <w:sz w:val="24"/>
          <w:szCs w:val="24"/>
        </w:rPr>
        <w:tab/>
      </w:r>
      <w:r>
        <w:rPr>
          <w:b/>
          <w:bCs/>
          <w:color w:val="2F2F2F"/>
          <w:sz w:val="24"/>
          <w:szCs w:val="24"/>
        </w:rPr>
        <w:t xml:space="preserve">5. </w:t>
      </w:r>
      <w:r>
        <w:rPr>
          <w:b/>
          <w:bCs/>
          <w:i w:val="false"/>
          <w:strike w:val="false"/>
          <w:dstrike w:val="false"/>
          <w:color w:val="2F2F2F"/>
          <w:sz w:val="24"/>
          <w:szCs w:val="24"/>
          <w:u w:val="none"/>
        </w:rPr>
        <w:t xml:space="preserve">Федеральным законом от 28.12.2016 N 489-ФЗ </w:t>
      </w:r>
      <w:r>
        <w:rPr>
          <w:b/>
          <w:bCs/>
          <w:i w:val="false"/>
          <w:strike w:val="false"/>
          <w:dstrike w:val="false"/>
          <w:sz w:val="24"/>
          <w:szCs w:val="24"/>
          <w:u w:val="none"/>
        </w:rPr>
        <w:t>"О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были внесены изменения в статью 31 Закона о контрактной системе.</w:t>
      </w:r>
    </w:p>
    <w:p>
      <w:pPr>
        <w:pStyle w:val="Normal"/>
        <w:spacing w:lineRule="auto" w:line="360" w:before="0" w:after="0"/>
        <w:jc w:val="both"/>
        <w:textAlignment w:val="top"/>
        <w:rPr>
          <w:rFonts w:ascii="Times New Roman" w:hAnsi="Times New Roman"/>
          <w:sz w:val="24"/>
          <w:szCs w:val="24"/>
        </w:rPr>
      </w:pPr>
      <w:r>
        <w:rPr>
          <w:b w:val="false"/>
          <w:i w:val="false"/>
          <w:strike w:val="false"/>
          <w:dstrike w:val="false"/>
          <w:sz w:val="24"/>
          <w:szCs w:val="24"/>
          <w:u w:val="none"/>
        </w:rPr>
        <w:tab/>
        <w:t xml:space="preserve">Так, </w:t>
      </w:r>
      <w:r>
        <w:rPr>
          <w:b w:val="false"/>
          <w:i w:val="false"/>
          <w:strike w:val="false"/>
          <w:dstrike w:val="false"/>
          <w:color w:val="0000FF"/>
          <w:sz w:val="24"/>
          <w:szCs w:val="24"/>
          <w:u w:val="none"/>
        </w:rPr>
        <w:t>пункт 7</w:t>
      </w:r>
      <w:r>
        <w:rPr>
          <w:b w:val="false"/>
          <w:i w:val="false"/>
          <w:strike w:val="false"/>
          <w:dstrike w:val="false"/>
          <w:sz w:val="24"/>
          <w:szCs w:val="24"/>
          <w:u w:val="none"/>
        </w:rPr>
        <w:t xml:space="preserve"> изложен в следующей редакции:</w:t>
      </w:r>
    </w:p>
    <w:p>
      <w:pPr>
        <w:pStyle w:val="Normal"/>
        <w:spacing w:lineRule="auto" w:line="360" w:before="0" w:after="0"/>
        <w:ind w:left="0" w:firstLine="540"/>
        <w:jc w:val="both"/>
        <w:rPr>
          <w:rFonts w:ascii="Times New Roman" w:hAnsi="Times New Roman"/>
          <w:sz w:val="24"/>
          <w:szCs w:val="24"/>
        </w:rPr>
      </w:pPr>
      <w:r>
        <w:rPr>
          <w:b w:val="false"/>
          <w:i w:val="false"/>
          <w:strike w:val="false"/>
          <w:dstrike w:val="false"/>
          <w:sz w:val="24"/>
          <w:szCs w:val="24"/>
          <w:u w:val="none"/>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b w:val="false"/>
          <w:i w:val="false"/>
          <w:strike w:val="false"/>
          <w:dstrike w:val="false"/>
          <w:color w:val="0000FF"/>
          <w:sz w:val="24"/>
          <w:szCs w:val="24"/>
          <w:u w:val="none"/>
        </w:rPr>
        <w:t>статьями 289</w:t>
      </w:r>
      <w:r>
        <w:rPr>
          <w:b w:val="false"/>
          <w:i w:val="false"/>
          <w:strike w:val="false"/>
          <w:dstrike w:val="false"/>
          <w:sz w:val="24"/>
          <w:szCs w:val="24"/>
          <w:u w:val="none"/>
        </w:rPr>
        <w:t xml:space="preserve">, </w:t>
      </w:r>
      <w:r>
        <w:rPr>
          <w:b w:val="false"/>
          <w:i w:val="false"/>
          <w:strike w:val="false"/>
          <w:dstrike w:val="false"/>
          <w:color w:val="0000FF"/>
          <w:sz w:val="24"/>
          <w:szCs w:val="24"/>
          <w:u w:val="none"/>
        </w:rPr>
        <w:t>290</w:t>
      </w:r>
      <w:r>
        <w:rPr>
          <w:b w:val="false"/>
          <w:i w:val="false"/>
          <w:strike w:val="false"/>
          <w:dstrike w:val="false"/>
          <w:sz w:val="24"/>
          <w:szCs w:val="24"/>
          <w:u w:val="none"/>
        </w:rPr>
        <w:t xml:space="preserve">, </w:t>
      </w:r>
      <w:r>
        <w:rPr>
          <w:b w:val="false"/>
          <w:i w:val="false"/>
          <w:strike w:val="false"/>
          <w:dstrike w:val="false"/>
          <w:color w:val="0000FF"/>
          <w:sz w:val="24"/>
          <w:szCs w:val="24"/>
          <w:u w:val="none"/>
        </w:rPr>
        <w:t>291</w:t>
      </w:r>
      <w:r>
        <w:rPr>
          <w:b w:val="false"/>
          <w:i w:val="false"/>
          <w:strike w:val="false"/>
          <w:dstrike w:val="false"/>
          <w:sz w:val="24"/>
          <w:szCs w:val="24"/>
          <w:u w:val="none"/>
        </w:rPr>
        <w:t xml:space="preserve">, </w:t>
      </w:r>
      <w:r>
        <w:rPr>
          <w:b w:val="false"/>
          <w:i w:val="false"/>
          <w:strike w:val="false"/>
          <w:dstrike w:val="false"/>
          <w:color w:val="0000FF"/>
          <w:sz w:val="24"/>
          <w:szCs w:val="24"/>
          <w:u w:val="none"/>
        </w:rPr>
        <w:t>291.1</w:t>
      </w:r>
      <w:r>
        <w:rPr>
          <w:b w:val="false"/>
          <w:i w:val="false"/>
          <w:strike w:val="false"/>
          <w:dstrike w:val="false"/>
          <w:sz w:val="24"/>
          <w:szCs w:val="24"/>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spacing w:lineRule="auto" w:line="360" w:before="0" w:after="0"/>
        <w:ind w:left="0" w:firstLine="540"/>
        <w:jc w:val="both"/>
        <w:rPr>
          <w:rFonts w:ascii="Times New Roman" w:hAnsi="Times New Roman"/>
          <w:sz w:val="24"/>
          <w:szCs w:val="24"/>
        </w:rPr>
      </w:pPr>
      <w:r>
        <w:rPr>
          <w:b w:val="false"/>
          <w:i w:val="false"/>
          <w:strike w:val="false"/>
          <w:dstrike w:val="false"/>
          <w:sz w:val="24"/>
          <w:szCs w:val="24"/>
          <w:u w:val="none"/>
        </w:rPr>
        <w:t xml:space="preserve">Кроме того, часть 1 статьи 31 Закона о контраткной системе </w:t>
      </w:r>
      <w:r>
        <w:rPr>
          <w:b w:val="false"/>
          <w:i w:val="false"/>
          <w:strike w:val="false"/>
          <w:dstrike w:val="false"/>
          <w:color w:val="0000FF"/>
          <w:sz w:val="24"/>
          <w:szCs w:val="24"/>
          <w:u w:val="none"/>
        </w:rPr>
        <w:t>дополнена</w:t>
      </w:r>
      <w:r>
        <w:rPr>
          <w:b w:val="false"/>
          <w:i w:val="false"/>
          <w:strike w:val="false"/>
          <w:dstrike w:val="false"/>
          <w:sz w:val="24"/>
          <w:szCs w:val="24"/>
          <w:u w:val="none"/>
        </w:rPr>
        <w:t xml:space="preserve"> пунктом 7.1 следующего содержания:</w:t>
      </w:r>
    </w:p>
    <w:p>
      <w:pPr>
        <w:pStyle w:val="Normal"/>
        <w:spacing w:lineRule="auto" w:line="360" w:before="0" w:after="0"/>
        <w:ind w:left="0" w:firstLine="540"/>
        <w:jc w:val="both"/>
        <w:rPr>
          <w:rFonts w:ascii="Times New Roman" w:hAnsi="Times New Roman"/>
          <w:sz w:val="24"/>
          <w:szCs w:val="24"/>
        </w:rPr>
      </w:pPr>
      <w:r>
        <w:rPr>
          <w:b w:val="false"/>
          <w:i w:val="false"/>
          <w:strike w:val="false"/>
          <w:dstrike w:val="false"/>
          <w:sz w:val="24"/>
          <w:szCs w:val="24"/>
          <w:u w:val="none"/>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b w:val="false"/>
          <w:i w:val="false"/>
          <w:strike w:val="false"/>
          <w:dstrike w:val="false"/>
          <w:color w:val="0000FF"/>
          <w:sz w:val="24"/>
          <w:szCs w:val="24"/>
          <w:u w:val="none"/>
        </w:rPr>
        <w:t>статьей 19.28</w:t>
      </w:r>
      <w:r>
        <w:rPr>
          <w:b w:val="false"/>
          <w:i w:val="false"/>
          <w:strike w:val="false"/>
          <w:dstrike w:val="false"/>
          <w:sz w:val="24"/>
          <w:szCs w:val="24"/>
          <w:u w:val="none"/>
        </w:rPr>
        <w:t xml:space="preserve"> Кодекса Российской Федерации об административных правонарушениях;".</w:t>
      </w:r>
    </w:p>
    <w:p>
      <w:pPr>
        <w:pStyle w:val="Normal"/>
        <w:spacing w:lineRule="auto" w:line="360" w:before="0" w:after="0"/>
        <w:jc w:val="both"/>
        <w:textAlignment w:val="top"/>
        <w:rPr>
          <w:rFonts w:ascii="Times New Roman" w:hAnsi="Times New Roman"/>
          <w:sz w:val="24"/>
          <w:szCs w:val="24"/>
        </w:rPr>
      </w:pPr>
      <w:r>
        <w:rPr>
          <w:b w:val="false"/>
          <w:i w:val="false"/>
          <w:strike w:val="false"/>
          <w:dstrike w:val="false"/>
          <w:sz w:val="24"/>
          <w:szCs w:val="24"/>
          <w:u w:val="none"/>
        </w:rPr>
        <w:tab/>
        <w:t xml:space="preserve">Между тем, на сегодняшний день до сих пор встречаются документации без учета положений  </w:t>
      </w:r>
      <w:r>
        <w:rPr>
          <w:b w:val="false"/>
          <w:i w:val="false"/>
          <w:strike w:val="false"/>
          <w:dstrike w:val="false"/>
          <w:color w:val="2F2F2F"/>
          <w:sz w:val="24"/>
          <w:szCs w:val="24"/>
          <w:u w:val="none"/>
        </w:rPr>
        <w:t>Федерального закона от 28.12.2016 N 489-ФЗ, что является нарушением части 3 статьи 7 и пунктов 7, 7.1 части 1 статьи 31 Закона о контрактной системе.</w:t>
      </w:r>
    </w:p>
    <w:p>
      <w:pPr>
        <w:pStyle w:val="Normal"/>
        <w:spacing w:lineRule="auto" w:line="360" w:before="0" w:after="0"/>
        <w:jc w:val="both"/>
        <w:textAlignment w:val="top"/>
        <w:rPr>
          <w:b w:val="false"/>
          <w:b w:val="false"/>
          <w:i w:val="false"/>
          <w:i w:val="false"/>
          <w:strike w:val="false"/>
          <w:dstrike w:val="false"/>
          <w:color w:val="2F2F2F"/>
          <w:u w:val="none"/>
        </w:rPr>
      </w:pPr>
      <w:r>
        <w:rPr>
          <w:b w:val="false"/>
          <w:i w:val="false"/>
          <w:strike w:val="false"/>
          <w:dstrike w:val="false"/>
          <w:color w:val="2F2F2F"/>
          <w:u w:val="none"/>
        </w:rPr>
      </w:r>
    </w:p>
    <w:p>
      <w:pPr>
        <w:pStyle w:val="Normal"/>
        <w:spacing w:lineRule="auto" w:line="360" w:before="0" w:after="0"/>
        <w:jc w:val="both"/>
        <w:textAlignment w:val="top"/>
        <w:rPr>
          <w:rFonts w:ascii="Times New Roman" w:hAnsi="Times New Roman"/>
          <w:b w:val="false"/>
          <w:b w:val="false"/>
          <w:bCs w:val="false"/>
          <w:sz w:val="24"/>
          <w:szCs w:val="24"/>
          <w:u w:val="none"/>
        </w:rPr>
      </w:pPr>
      <w:r>
        <w:rPr>
          <w:b w:val="false"/>
          <w:bCs w:val="false"/>
          <w:i w:val="false"/>
          <w:strike w:val="false"/>
          <w:dstrike w:val="false"/>
          <w:color w:val="2F2F2F"/>
          <w:sz w:val="24"/>
          <w:szCs w:val="24"/>
          <w:u w:val="none"/>
        </w:rPr>
        <w:tab/>
      </w:r>
      <w:r>
        <w:rPr>
          <w:b/>
          <w:bCs/>
          <w:i w:val="false"/>
          <w:strike w:val="false"/>
          <w:dstrike w:val="false"/>
          <w:color w:val="2F2F2F"/>
          <w:sz w:val="24"/>
          <w:szCs w:val="24"/>
          <w:u w:val="none"/>
        </w:rPr>
        <w:t>6. Необоснованный допуск участников закупки по первым частям заявок на участие в аукционе (предоставление недостоверной информации о товаре, его характеристиках, а также о стране происхождения товара).</w:t>
      </w:r>
    </w:p>
    <w:p>
      <w:pPr>
        <w:pStyle w:val="Normal"/>
        <w:spacing w:lineRule="auto" w:line="360" w:before="0" w:after="0"/>
        <w:jc w:val="both"/>
        <w:textAlignment w:val="top"/>
        <w:rPr>
          <w:rFonts w:ascii="Times New Roman" w:hAnsi="Times New Roman"/>
          <w:b w:val="false"/>
          <w:b w:val="false"/>
          <w:bCs w:val="false"/>
          <w:sz w:val="24"/>
          <w:szCs w:val="24"/>
          <w:u w:val="none"/>
        </w:rPr>
      </w:pPr>
      <w:r>
        <w:rPr>
          <w:b w:val="false"/>
          <w:bCs w:val="false"/>
          <w:i w:val="false"/>
          <w:strike w:val="false"/>
          <w:dstrike w:val="false"/>
          <w:color w:val="2F2F2F"/>
          <w:sz w:val="24"/>
          <w:szCs w:val="24"/>
          <w:u w:val="none"/>
        </w:rPr>
        <w:tab/>
        <w:t>П</w:t>
      </w:r>
      <w:r>
        <w:rPr>
          <w:rFonts w:eastAsia="Times New Roman" w:cs="Times New Roman"/>
          <w:b w:val="false"/>
          <w:bCs w:val="false"/>
          <w:i w:val="false"/>
          <w:iCs w:val="false"/>
          <w:strike w:val="false"/>
          <w:dstrike w:val="false"/>
          <w:color w:val="000000"/>
          <w:spacing w:val="2"/>
          <w:sz w:val="24"/>
          <w:szCs w:val="24"/>
          <w:u w:val="none"/>
          <w:shd w:fill="FFFFFF" w:val="clear"/>
          <w:lang w:val="ru-RU" w:eastAsia="ru-RU" w:bidi="en-US"/>
        </w:rPr>
        <w:t>ри проведении торгов, предметами которых является поставка оригинальных расходных материалов (картриджи) для оргтехники Заказчики позициям Заказчик устанавливают требования о поставке картриджей определенных товарных знаков (например Canon, Epson, HP Photosmart, HP Laser Jet, KONICA, Kyocera и т.д.)</w:t>
      </w:r>
    </w:p>
    <w:p>
      <w:pPr>
        <w:pStyle w:val="Normal"/>
        <w:spacing w:lineRule="auto" w:line="360"/>
        <w:ind w:firstLine="567"/>
        <w:jc w:val="both"/>
        <w:rPr>
          <w:rFonts w:ascii="Times New Roman" w:hAnsi="Times New Roman"/>
          <w:b w:val="false"/>
          <w:b w:val="false"/>
          <w:bCs w:val="false"/>
          <w:sz w:val="24"/>
          <w:szCs w:val="24"/>
          <w:u w:val="none"/>
        </w:rPr>
      </w:pPr>
      <w:r>
        <w:rPr>
          <w:b w:val="false"/>
          <w:bCs w:val="false"/>
          <w:color w:val="000000"/>
          <w:sz w:val="24"/>
          <w:szCs w:val="24"/>
          <w:u w:val="none"/>
        </w:rPr>
        <w:t>Между тем, недобросовестные участники предлагая к поставке товар (</w:t>
      </w:r>
      <w:r>
        <w:rPr>
          <w:rFonts w:eastAsia="Times New Roman" w:cs="Times New Roman"/>
          <w:b w:val="false"/>
          <w:bCs w:val="false"/>
          <w:i w:val="false"/>
          <w:iCs w:val="false"/>
          <w:strike w:val="false"/>
          <w:dstrike w:val="false"/>
          <w:color w:val="000000"/>
          <w:spacing w:val="2"/>
          <w:sz w:val="24"/>
          <w:szCs w:val="24"/>
          <w:u w:val="none"/>
          <w:shd w:fill="FFFFFF" w:val="clear"/>
          <w:lang w:val="ru-RU" w:eastAsia="ru-RU" w:bidi="en-US"/>
        </w:rPr>
        <w:t>расходные материалы (картриджи)</w:t>
      </w:r>
      <w:r>
        <w:rPr>
          <w:b w:val="false"/>
          <w:bCs w:val="false"/>
          <w:color w:val="000000"/>
          <w:sz w:val="24"/>
          <w:szCs w:val="24"/>
          <w:u w:val="none"/>
        </w:rPr>
        <w:t>) декларируют страну происхождения - Российская Федерация.</w:t>
      </w:r>
    </w:p>
    <w:p>
      <w:pPr>
        <w:pStyle w:val="Normal"/>
        <w:spacing w:lineRule="auto" w:line="360"/>
        <w:ind w:firstLine="567"/>
        <w:jc w:val="both"/>
        <w:rPr>
          <w:rFonts w:ascii="Times New Roman" w:hAnsi="Times New Roman"/>
          <w:b w:val="false"/>
          <w:b w:val="false"/>
          <w:bCs w:val="false"/>
          <w:sz w:val="24"/>
          <w:szCs w:val="24"/>
          <w:u w:val="none"/>
        </w:rPr>
      </w:pPr>
      <w:r>
        <w:rPr>
          <w:b w:val="false"/>
          <w:bCs w:val="false"/>
          <w:color w:val="000000"/>
          <w:sz w:val="24"/>
          <w:szCs w:val="24"/>
          <w:u w:val="none"/>
        </w:rPr>
        <w:t xml:space="preserve">Вместе с тем, согласно официальным письмам (например ЗАО Хьюлетт-Паккард АО (Hewlett-Packard) от 17.06.2014г.) данная компания не производит расходные материалы на территории Российской Федерации. Аналогичное письмо имеется у компании </w:t>
      </w:r>
      <w:r>
        <w:rPr>
          <w:rFonts w:eastAsia="Times New Roman" w:cs="Times New Roman"/>
          <w:b w:val="false"/>
          <w:bCs w:val="false"/>
          <w:i w:val="false"/>
          <w:iCs w:val="false"/>
          <w:strike w:val="false"/>
          <w:dstrike w:val="false"/>
          <w:color w:val="000000"/>
          <w:spacing w:val="2"/>
          <w:sz w:val="24"/>
          <w:szCs w:val="24"/>
          <w:u w:val="none"/>
          <w:shd w:fill="FFFFFF" w:val="clear"/>
          <w:lang w:val="ru-RU" w:eastAsia="ru-RU" w:bidi="en-US"/>
        </w:rPr>
        <w:t xml:space="preserve">Kyocera. </w:t>
      </w:r>
    </w:p>
    <w:p>
      <w:pPr>
        <w:pStyle w:val="Normal"/>
        <w:spacing w:lineRule="auto" w:line="360" w:before="0" w:after="0"/>
        <w:jc w:val="both"/>
        <w:textAlignment w:val="top"/>
        <w:rPr>
          <w:rFonts w:ascii="Times New Roman" w:hAnsi="Times New Roman"/>
          <w:sz w:val="24"/>
          <w:szCs w:val="24"/>
        </w:rPr>
      </w:pPr>
      <w:r>
        <w:rPr>
          <w:rFonts w:eastAsia="Times New Roman" w:cs="Times New Roman"/>
          <w:b w:val="false"/>
          <w:bCs w:val="false"/>
          <w:i w:val="false"/>
          <w:iCs w:val="false"/>
          <w:strike w:val="false"/>
          <w:dstrike w:val="false"/>
          <w:color w:val="000000"/>
          <w:spacing w:val="2"/>
          <w:sz w:val="24"/>
          <w:szCs w:val="24"/>
          <w:u w:val="none"/>
          <w:shd w:fill="FFFFFF" w:val="clear"/>
          <w:lang w:val="ru-RU" w:eastAsia="ru-RU" w:bidi="en-US"/>
        </w:rPr>
        <w:tab/>
        <w:t>Одним из оснований для отказа в допуске к участию в аукционе является предоставление недостоверной информации, заказчик (аукционная комиссия) обязан принять необходимые и возможные меры для проверки действительности сведений (предоставляемой информации) о предмете закупки. Данные действия являются разумными мерами, обеспечивающими предоставление качественной продукции (товаров, работ, услуг) для нужд заказчика и не противоречат действующему законодательству.</w:t>
      </w:r>
    </w:p>
    <w:p>
      <w:pPr>
        <w:pStyle w:val="Normal"/>
        <w:spacing w:lineRule="auto" w:line="360" w:before="0" w:after="0"/>
        <w:jc w:val="both"/>
        <w:textAlignment w:val="top"/>
        <w:rPr/>
      </w:pPr>
      <w:hyperlink r:id="rId2">
        <w:r>
          <w:rPr>
            <w:rStyle w:val="Style9"/>
            <w:rFonts w:eastAsia="Times New Roman" w:cs="Times New Roman"/>
            <w:b w:val="false"/>
            <w:bCs w:val="false"/>
            <w:i w:val="false"/>
            <w:iCs w:val="false"/>
            <w:strike w:val="false"/>
            <w:dstrike w:val="false"/>
            <w:color w:val="2F2F2F"/>
            <w:spacing w:val="2"/>
            <w:sz w:val="24"/>
            <w:szCs w:val="24"/>
            <w:highlight w:val="white"/>
            <w:u w:val="none"/>
            <w:lang w:val="ru-RU" w:eastAsia="ru-RU" w:bidi="en-US"/>
          </w:rPr>
          <w:tab/>
          <w:t>Аналогичная позиция изложена в решении арбитражного суда Ханты-Мансийского автономного округа — Югры от 04.12.2014 по делу №А75-10530/2014.</w:t>
        </w:r>
      </w:hyperlink>
    </w:p>
    <w:sectPr>
      <w:type w:val="nextPage"/>
      <w:pgSz w:w="11906" w:h="16838"/>
      <w:pgMar w:left="1701" w:right="850" w:header="0" w:top="1134" w:footer="0" w:bottom="851"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Open Sans">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Body Text Indent 2"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5890"/>
    <w:pPr>
      <w:widowControl/>
      <w:bidi w:val="0"/>
      <w:jc w:val="left"/>
    </w:pPr>
    <w:rPr>
      <w:rFonts w:ascii="Times New Roman" w:hAnsi="Times New Roman" w:eastAsia="Times New Roman" w:cs="Times New Roman"/>
      <w:color w:val="00000A"/>
      <w:sz w:val="28"/>
      <w:szCs w:val="24"/>
      <w:lang w:val="ru-RU" w:eastAsia="ru-RU" w:bidi="ar-SA"/>
    </w:rPr>
  </w:style>
  <w:style w:type="paragraph" w:styleId="1">
    <w:name w:val="Heading 1"/>
    <w:basedOn w:val="Normal"/>
    <w:link w:val="10"/>
    <w:qFormat/>
    <w:rsid w:val="009f5890"/>
    <w:pPr>
      <w:keepNext/>
      <w:outlineLvl w:val="0"/>
    </w:pPr>
    <w:rPr>
      <w:sz w:val="32"/>
      <w:szCs w:val="20"/>
    </w:rPr>
  </w:style>
  <w:style w:type="paragraph" w:styleId="2">
    <w:name w:val="Heading 2"/>
    <w:basedOn w:val="Normal"/>
    <w:link w:val="20"/>
    <w:qFormat/>
    <w:rsid w:val="009f5890"/>
    <w:pPr>
      <w:keepNext/>
      <w:jc w:val="center"/>
      <w:outlineLvl w:val="1"/>
    </w:pPr>
    <w:rPr>
      <w:sz w:val="32"/>
      <w:szCs w:val="20"/>
    </w:rPr>
  </w:style>
  <w:style w:type="paragraph" w:styleId="3">
    <w:name w:val="Heading 3"/>
    <w:basedOn w:val="Normal"/>
    <w:link w:val="30"/>
    <w:qFormat/>
    <w:rsid w:val="009f5890"/>
    <w:pPr>
      <w:keepNext/>
      <w:spacing w:before="240" w:after="60"/>
      <w:outlineLvl w:val="2"/>
    </w:pPr>
    <w:rPr>
      <w:rFonts w:ascii="Arial" w:hAnsi="Arial" w:cs="Arial"/>
      <w:b/>
      <w:bCs/>
      <w:sz w:val="26"/>
      <w:szCs w:val="26"/>
    </w:rPr>
  </w:style>
  <w:style w:type="paragraph" w:styleId="4">
    <w:name w:val="Heading 4"/>
    <w:basedOn w:val="Normal"/>
    <w:link w:val="40"/>
    <w:uiPriority w:val="99"/>
    <w:qFormat/>
    <w:rsid w:val="00727b6d"/>
    <w:pPr>
      <w:keepNext/>
      <w:suppressAutoHyphens w:val="true"/>
      <w:jc w:val="center"/>
      <w:outlineLvl w:val="3"/>
    </w:pPr>
    <w:rPr>
      <w:b/>
      <w:bCs/>
      <w:sz w:val="22"/>
      <w:lang w:val="ru-RU" w:eastAsia="ar-SA"/>
    </w:rPr>
  </w:style>
  <w:style w:type="paragraph" w:styleId="5">
    <w:name w:val="Heading 5"/>
    <w:basedOn w:val="Normal"/>
    <w:link w:val="50"/>
    <w:uiPriority w:val="99"/>
    <w:qFormat/>
    <w:rsid w:val="00727b6d"/>
    <w:pPr>
      <w:suppressAutoHyphens w:val="true"/>
      <w:spacing w:before="240" w:after="60"/>
      <w:outlineLvl w:val="4"/>
    </w:pPr>
    <w:rPr>
      <w:b/>
      <w:bCs/>
      <w:i/>
      <w:iCs/>
      <w:sz w:val="26"/>
      <w:szCs w:val="26"/>
      <w:lang w:val="ru-RU" w:eastAsia="ar-SA"/>
    </w:rPr>
  </w:style>
  <w:style w:type="paragraph" w:styleId="6">
    <w:name w:val="Heading 6"/>
    <w:basedOn w:val="Normal"/>
    <w:link w:val="60"/>
    <w:uiPriority w:val="99"/>
    <w:qFormat/>
    <w:rsid w:val="00727b6d"/>
    <w:pPr>
      <w:keepNext/>
      <w:suppressAutoHyphens w:val="true"/>
      <w:ind w:left="4320" w:hanging="180"/>
      <w:outlineLvl w:val="5"/>
    </w:pPr>
    <w:rPr>
      <w:sz w:val="32"/>
      <w:lang w:val="ru-RU" w:eastAsia="ar-SA"/>
    </w:rPr>
  </w:style>
  <w:style w:type="paragraph" w:styleId="8">
    <w:name w:val="Heading 8"/>
    <w:basedOn w:val="Normal"/>
    <w:link w:val="80"/>
    <w:uiPriority w:val="99"/>
    <w:qFormat/>
    <w:rsid w:val="00727b6d"/>
    <w:pPr>
      <w:widowControl w:val="false"/>
      <w:suppressAutoHyphens w:val="true"/>
      <w:spacing w:before="240" w:after="60"/>
      <w:outlineLvl w:val="7"/>
    </w:pPr>
    <w:rPr>
      <w:rFonts w:ascii="Calibri" w:hAnsi="Calibri"/>
      <w:i/>
      <w:iCs/>
      <w:sz w:val="24"/>
      <w:lang w:val="ru-RU"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f5890"/>
    <w:rPr>
      <w:sz w:val="32"/>
      <w:lang w:eastAsia="ru-RU"/>
    </w:rPr>
  </w:style>
  <w:style w:type="character" w:styleId="21" w:customStyle="1">
    <w:name w:val="Заголовок 2 Знак"/>
    <w:basedOn w:val="DefaultParagraphFont"/>
    <w:link w:val="2"/>
    <w:qFormat/>
    <w:rsid w:val="009f5890"/>
    <w:rPr>
      <w:sz w:val="32"/>
      <w:lang w:eastAsia="ru-RU"/>
    </w:rPr>
  </w:style>
  <w:style w:type="character" w:styleId="31" w:customStyle="1">
    <w:name w:val="Заголовок 3 Знак"/>
    <w:basedOn w:val="DefaultParagraphFont"/>
    <w:link w:val="3"/>
    <w:qFormat/>
    <w:rsid w:val="009f5890"/>
    <w:rPr>
      <w:rFonts w:ascii="Arial" w:hAnsi="Arial" w:cs="Arial"/>
      <w:b/>
      <w:bCs/>
      <w:sz w:val="26"/>
      <w:szCs w:val="26"/>
      <w:lang w:eastAsia="ru-RU"/>
    </w:rPr>
  </w:style>
  <w:style w:type="character" w:styleId="41" w:customStyle="1">
    <w:name w:val="Заголовок 4 Знак"/>
    <w:basedOn w:val="DefaultParagraphFont"/>
    <w:link w:val="4"/>
    <w:uiPriority w:val="99"/>
    <w:qFormat/>
    <w:rsid w:val="00727b6d"/>
    <w:rPr>
      <w:b/>
      <w:bCs/>
      <w:sz w:val="22"/>
      <w:szCs w:val="24"/>
      <w:lang w:val="ru-RU" w:eastAsia="ar-SA"/>
    </w:rPr>
  </w:style>
  <w:style w:type="character" w:styleId="51" w:customStyle="1">
    <w:name w:val="Заголовок 5 Знак"/>
    <w:basedOn w:val="DefaultParagraphFont"/>
    <w:link w:val="5"/>
    <w:uiPriority w:val="99"/>
    <w:qFormat/>
    <w:rsid w:val="00727b6d"/>
    <w:rPr>
      <w:b/>
      <w:bCs/>
      <w:i/>
      <w:iCs/>
      <w:sz w:val="26"/>
      <w:szCs w:val="26"/>
      <w:lang w:val="ru-RU" w:eastAsia="ar-SA"/>
    </w:rPr>
  </w:style>
  <w:style w:type="character" w:styleId="61" w:customStyle="1">
    <w:name w:val="Заголовок 6 Знак"/>
    <w:basedOn w:val="DefaultParagraphFont"/>
    <w:link w:val="6"/>
    <w:uiPriority w:val="99"/>
    <w:qFormat/>
    <w:rsid w:val="00727b6d"/>
    <w:rPr>
      <w:sz w:val="32"/>
      <w:szCs w:val="24"/>
      <w:lang w:val="ru-RU" w:eastAsia="ar-SA"/>
    </w:rPr>
  </w:style>
  <w:style w:type="character" w:styleId="81" w:customStyle="1">
    <w:name w:val="Заголовок 8 Знак"/>
    <w:basedOn w:val="DefaultParagraphFont"/>
    <w:link w:val="8"/>
    <w:uiPriority w:val="99"/>
    <w:qFormat/>
    <w:rsid w:val="00727b6d"/>
    <w:rPr>
      <w:rFonts w:ascii="Calibri" w:hAnsi="Calibri"/>
      <w:i/>
      <w:iCs/>
      <w:sz w:val="24"/>
      <w:szCs w:val="24"/>
      <w:lang w:val="ru-RU" w:eastAsia="ar-SA"/>
    </w:rPr>
  </w:style>
  <w:style w:type="character" w:styleId="22" w:customStyle="1">
    <w:name w:val="Основной текст с отступом 2 Знак"/>
    <w:basedOn w:val="DefaultParagraphFont"/>
    <w:uiPriority w:val="99"/>
    <w:semiHidden/>
    <w:qFormat/>
    <w:rsid w:val="002a7a97"/>
    <w:rPr>
      <w:sz w:val="28"/>
      <w:szCs w:val="24"/>
      <w:lang w:eastAsia="ru-RU"/>
    </w:rPr>
  </w:style>
  <w:style w:type="character" w:styleId="211" w:customStyle="1">
    <w:name w:val="Основной текст с отступом 2 Знак1"/>
    <w:basedOn w:val="DefaultParagraphFont"/>
    <w:link w:val="21"/>
    <w:qFormat/>
    <w:locked/>
    <w:rsid w:val="002a7a97"/>
    <w:rPr>
      <w:sz w:val="28"/>
      <w:lang w:eastAsia="ru-RU"/>
    </w:rPr>
  </w:style>
  <w:style w:type="character" w:styleId="Style7" w:customStyle="1">
    <w:name w:val="Текст выноски Знак"/>
    <w:basedOn w:val="DefaultParagraphFont"/>
    <w:link w:val="a5"/>
    <w:uiPriority w:val="99"/>
    <w:semiHidden/>
    <w:qFormat/>
    <w:rsid w:val="007c1bf6"/>
    <w:rPr>
      <w:rFonts w:ascii="Tahoma" w:hAnsi="Tahoma" w:cs="Tahoma"/>
      <w:sz w:val="16"/>
      <w:szCs w:val="16"/>
      <w:lang w:eastAsia="ru-RU"/>
    </w:rPr>
  </w:style>
  <w:style w:type="character" w:styleId="Style8" w:customStyle="1">
    <w:name w:val="Основной текст Знак"/>
    <w:basedOn w:val="DefaultParagraphFont"/>
    <w:link w:val="a7"/>
    <w:uiPriority w:val="99"/>
    <w:semiHidden/>
    <w:qFormat/>
    <w:rsid w:val="000b5f53"/>
    <w:rPr>
      <w:sz w:val="28"/>
      <w:szCs w:val="24"/>
      <w:lang w:eastAsia="ru-RU"/>
    </w:rPr>
  </w:style>
  <w:style w:type="character" w:styleId="ListLabel1">
    <w:name w:val="ListLabel 1"/>
    <w:qFormat/>
    <w:rPr>
      <w:rFonts w:cs="Times New Roman"/>
    </w:rPr>
  </w:style>
  <w:style w:type="character" w:styleId="Style9">
    <w:name w:val="Интернет-ссылка"/>
    <w:rPr>
      <w:color w:val="000080"/>
      <w:u w:val="single"/>
      <w:lang w:val="zxx" w:eastAsia="zxx" w:bidi="zxx"/>
    </w:rPr>
  </w:style>
  <w:style w:type="character" w:styleId="ListLabel2">
    <w:name w:val="ListLabel 2"/>
    <w:qFormat/>
    <w:rPr>
      <w:rFonts w:cs="Times New Roman"/>
    </w:rPr>
  </w:style>
  <w:style w:type="paragraph" w:styleId="Style10">
    <w:name w:val="Заголовок"/>
    <w:basedOn w:val="Normal"/>
    <w:next w:val="Style11"/>
    <w:qFormat/>
    <w:pPr>
      <w:keepNext/>
      <w:spacing w:before="240" w:after="120"/>
    </w:pPr>
    <w:rPr>
      <w:rFonts w:ascii="Liberation Sans" w:hAnsi="Liberation Sans" w:eastAsia="Microsoft YaHei" w:cs="Mangal"/>
      <w:sz w:val="28"/>
      <w:szCs w:val="28"/>
    </w:rPr>
  </w:style>
  <w:style w:type="paragraph" w:styleId="Style11">
    <w:name w:val="Body Text"/>
    <w:basedOn w:val="Normal"/>
    <w:link w:val="a8"/>
    <w:uiPriority w:val="99"/>
    <w:semiHidden/>
    <w:unhideWhenUsed/>
    <w:rsid w:val="000b5f53"/>
    <w:pPr>
      <w:spacing w:before="0" w:after="12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NormalWeb">
    <w:name w:val="Normal (Web)"/>
    <w:basedOn w:val="Normal"/>
    <w:uiPriority w:val="99"/>
    <w:unhideWhenUsed/>
    <w:qFormat/>
    <w:rsid w:val="000a0d08"/>
    <w:pPr>
      <w:spacing w:lineRule="atLeast" w:line="360" w:beforeAutospacing="1" w:after="360"/>
    </w:pPr>
    <w:rPr>
      <w:rFonts w:ascii="Open Sans" w:hAnsi="Open Sans"/>
      <w:sz w:val="24"/>
    </w:rPr>
  </w:style>
  <w:style w:type="paragraph" w:styleId="ListBullet">
    <w:name w:val="List Bullet"/>
    <w:basedOn w:val="Normal"/>
    <w:uiPriority w:val="99"/>
    <w:unhideWhenUsed/>
    <w:qFormat/>
    <w:rsid w:val="00727b6d"/>
    <w:pPr>
      <w:spacing w:lineRule="auto" w:line="276" w:before="0" w:after="200"/>
      <w:ind w:left="360" w:hanging="360"/>
      <w:contextualSpacing/>
    </w:pPr>
    <w:rPr>
      <w:rFonts w:ascii="Calibri" w:hAnsi="Calibri"/>
      <w:sz w:val="22"/>
      <w:szCs w:val="22"/>
      <w:lang w:eastAsia="en-US"/>
    </w:rPr>
  </w:style>
  <w:style w:type="paragraph" w:styleId="BodyTextIndent2">
    <w:name w:val="Body Text Indent 2"/>
    <w:basedOn w:val="Normal"/>
    <w:link w:val="210"/>
    <w:unhideWhenUsed/>
    <w:qFormat/>
    <w:rsid w:val="002a7a97"/>
    <w:pPr>
      <w:ind w:firstLine="720"/>
      <w:jc w:val="both"/>
    </w:pPr>
    <w:rPr>
      <w:szCs w:val="20"/>
    </w:rPr>
  </w:style>
  <w:style w:type="paragraph" w:styleId="BalloonText">
    <w:name w:val="Balloon Text"/>
    <w:basedOn w:val="Normal"/>
    <w:link w:val="a6"/>
    <w:uiPriority w:val="99"/>
    <w:semiHidden/>
    <w:unhideWhenUsed/>
    <w:qFormat/>
    <w:rsid w:val="007c1bf6"/>
    <w:pPr/>
    <w:rPr>
      <w:rFonts w:ascii="Tahoma" w:hAnsi="Tahoma" w:cs="Tahoma"/>
      <w:sz w:val="16"/>
      <w:szCs w:val="16"/>
    </w:rPr>
  </w:style>
  <w:style w:type="paragraph" w:styleId="ConsPlusNormal" w:customStyle="1">
    <w:name w:val="ConsPlusNormal"/>
    <w:qFormat/>
    <w:rsid w:val="00035137"/>
    <w:pPr>
      <w:widowControl w:val="false"/>
      <w:bidi w:val="0"/>
      <w:jc w:val="left"/>
    </w:pPr>
    <w:rPr>
      <w:rFonts w:ascii="Arial" w:hAnsi="Arial" w:eastAsia="" w:cs="Arial" w:eastAsiaTheme="minorEastAsia"/>
      <w:color w:val="00000A"/>
      <w:sz w:val="28"/>
      <w:szCs w:val="20"/>
      <w:lang w:val="ru-RU" w:eastAsia="ru-RU" w:bidi="ar-SA"/>
    </w:rPr>
  </w:style>
  <w:style w:type="paragraph" w:styleId="Style15" w:customStyle="1">
    <w:name w:val="Знак"/>
    <w:basedOn w:val="Normal"/>
    <w:qFormat/>
    <w:rsid w:val="00d2225a"/>
    <w:pPr>
      <w:spacing w:beforeAutospacing="1" w:afterAutospacing="1"/>
    </w:pPr>
    <w:rPr>
      <w:rFonts w:ascii="Tahoma" w:hAnsi="Tahoma"/>
      <w:sz w:val="20"/>
      <w:szCs w:val="20"/>
      <w:lang w:val="en-US" w:eastAsia="en-US"/>
    </w:rPr>
  </w:style>
  <w:style w:type="paragraph" w:styleId="NoSpacing">
    <w:name w:val="No Spacing"/>
    <w:qFormat/>
    <w:pPr>
      <w:widowControl/>
      <w:suppressAutoHyphens w:val="true"/>
      <w:bidi w:val="0"/>
      <w:jc w:val="left"/>
    </w:pPr>
    <w:rPr>
      <w:rFonts w:ascii="Liberation Serif;Times New Roman" w:hAnsi="Liberation Serif;Times New Roman" w:eastAsia="SimSun;宋体" w:cs="Mangal"/>
      <w:color w:val="00000A"/>
      <w:sz w:val="24"/>
      <w:szCs w:val="24"/>
      <w:lang w:val="ru-RU" w:eastAsia="zh-CN" w:bidi="hi-IN"/>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4384B8444BE79B4C30E5A6909944B6EFD7E1CE9EB4A04BEFE7BC5611D7265276A4F5AFCA01D7E18D"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Application>LibreOffice/5.2.0.4$Windows_x86 LibreOffice_project/066b007f5ebcc236395c7d282ba488bca6720265</Application>
  <Pages>4</Pages>
  <Words>3702</Words>
  <Characters>26096</Characters>
  <CharactersWithSpaces>29844</CharactersWithSpaces>
  <Paragraphs>93</Paragraphs>
  <Company>КонсультантПлюс Версия 4016.00.46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2017-09-25T08:53:00Z</dcterms:created>
  <dc:creator>Юрий Дмитриевич Верзун</dc:creator>
  <dc:description/>
  <dc:language>ru-RU</dc:language>
  <cp:lastModifiedBy/>
  <cp:lastPrinted>2017-06-19T15:06:04Z</cp:lastPrinted>
  <dcterms:modified xsi:type="dcterms:W3CDTF">2017-09-25T09:47:15Z</dcterms:modified>
  <cp:revision>13</cp:revision>
  <dc:subject/>
  <dc:title>Федеральный закон от 28.12.2016 N 489-ФЗ"О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4016.00.46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